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47A11" w14:textId="09CF3739" w:rsidR="00C4542A" w:rsidRPr="003802C4" w:rsidRDefault="00C4542A" w:rsidP="00C4542A">
      <w:pPr>
        <w:pStyle w:val="Heading1"/>
        <w:tabs>
          <w:tab w:val="left" w:pos="9990"/>
        </w:tabs>
        <w:jc w:val="both"/>
        <w:rPr>
          <w:rFonts w:asciiTheme="minorHAnsi" w:hAnsiTheme="minorHAnsi" w:cstheme="minorHAnsi"/>
          <w:bCs/>
          <w:i/>
          <w:iCs/>
          <w:sz w:val="24"/>
          <w:szCs w:val="24"/>
          <w:lang w:val="en-GB"/>
        </w:rPr>
      </w:pPr>
      <w:bookmarkStart w:id="0" w:name="_Toc1395913"/>
      <w:bookmarkStart w:id="1" w:name="_Toc2329738"/>
      <w:bookmarkStart w:id="2" w:name="_Toc39498908"/>
      <w:bookmarkStart w:id="3" w:name="_GoBack"/>
      <w:bookmarkEnd w:id="3"/>
      <w:r w:rsidRPr="003802C4">
        <w:rPr>
          <w:rFonts w:asciiTheme="minorHAnsi" w:hAnsiTheme="minorHAnsi" w:cstheme="minorHAnsi"/>
          <w:bCs/>
          <w:i/>
          <w:iCs/>
          <w:sz w:val="24"/>
          <w:szCs w:val="24"/>
          <w:lang w:val="en-GB"/>
        </w:rPr>
        <w:t xml:space="preserve">*The below chapter is a part of the under-development 2019 Annual One UN Results Report which narratively presents UN’s joint results toward the achievement of the One Strategic Plan 2017-2021’s intended outcomes. The report </w:t>
      </w:r>
      <w:r w:rsidR="003802C4">
        <w:rPr>
          <w:rFonts w:asciiTheme="minorHAnsi" w:hAnsiTheme="minorHAnsi" w:cstheme="minorHAnsi"/>
          <w:bCs/>
          <w:i/>
          <w:iCs/>
          <w:sz w:val="24"/>
          <w:szCs w:val="24"/>
          <w:lang w:val="en-GB"/>
        </w:rPr>
        <w:t xml:space="preserve">will be finalized expectedly in mid-June for official submission to donors and other stakeholders. </w:t>
      </w:r>
      <w:r w:rsidRPr="003802C4">
        <w:rPr>
          <w:rFonts w:asciiTheme="minorHAnsi" w:hAnsiTheme="minorHAnsi" w:cstheme="minorHAnsi"/>
          <w:bCs/>
          <w:i/>
          <w:iCs/>
          <w:sz w:val="24"/>
          <w:szCs w:val="24"/>
          <w:lang w:val="en-GB"/>
        </w:rPr>
        <w:t xml:space="preserve"> </w:t>
      </w:r>
    </w:p>
    <w:p w14:paraId="7EB81F7B" w14:textId="77777777" w:rsidR="00C4542A" w:rsidRPr="00C4542A" w:rsidRDefault="00C4542A" w:rsidP="00C4542A">
      <w:pPr>
        <w:rPr>
          <w:lang w:val="en-GB"/>
        </w:rPr>
      </w:pPr>
    </w:p>
    <w:p w14:paraId="65E65F35" w14:textId="1A202913" w:rsidR="00A05697" w:rsidRPr="00FD5EE9" w:rsidRDefault="00A05697" w:rsidP="00A05697">
      <w:pPr>
        <w:pStyle w:val="Heading1"/>
        <w:tabs>
          <w:tab w:val="left" w:pos="9990"/>
        </w:tabs>
        <w:rPr>
          <w:rFonts w:asciiTheme="minorHAnsi" w:hAnsiTheme="minorHAnsi" w:cstheme="minorHAnsi"/>
          <w:b/>
          <w:sz w:val="24"/>
          <w:szCs w:val="24"/>
          <w:lang w:val="en-GB"/>
        </w:rPr>
      </w:pPr>
      <w:r w:rsidRPr="00FD5EE9">
        <w:rPr>
          <w:rFonts w:asciiTheme="minorHAnsi" w:hAnsiTheme="minorHAnsi" w:cstheme="minorHAnsi"/>
          <w:b/>
          <w:sz w:val="24"/>
          <w:szCs w:val="24"/>
          <w:lang w:val="en-GB"/>
        </w:rPr>
        <w:t>CHAPTER 4: FINANCIAL OVERVIEW</w:t>
      </w:r>
      <w:bookmarkEnd w:id="0"/>
      <w:bookmarkEnd w:id="1"/>
      <w:bookmarkEnd w:id="2"/>
    </w:p>
    <w:p w14:paraId="51DF6DDD" w14:textId="77777777" w:rsidR="00A05697" w:rsidRDefault="00A05697" w:rsidP="00A05697">
      <w:pPr>
        <w:pStyle w:val="Heading2"/>
        <w:tabs>
          <w:tab w:val="left" w:pos="9990"/>
        </w:tabs>
        <w:spacing w:before="0" w:line="271" w:lineRule="auto"/>
        <w:jc w:val="both"/>
        <w:rPr>
          <w:rFonts w:asciiTheme="minorHAnsi" w:hAnsiTheme="minorHAnsi" w:cstheme="minorHAnsi"/>
          <w:b/>
          <w:sz w:val="24"/>
          <w:szCs w:val="24"/>
          <w:lang w:val="en-GB"/>
        </w:rPr>
      </w:pPr>
      <w:bookmarkStart w:id="4" w:name="_Toc2329739"/>
      <w:bookmarkStart w:id="5" w:name="_Toc39498909"/>
    </w:p>
    <w:p w14:paraId="0386898F" w14:textId="77777777" w:rsidR="00A05697" w:rsidRPr="00215FA2" w:rsidRDefault="00A05697" w:rsidP="00A05697">
      <w:pPr>
        <w:pStyle w:val="Heading2"/>
        <w:tabs>
          <w:tab w:val="left" w:pos="9990"/>
        </w:tabs>
        <w:spacing w:before="0" w:line="271" w:lineRule="auto"/>
        <w:jc w:val="both"/>
        <w:rPr>
          <w:rFonts w:asciiTheme="minorHAnsi" w:hAnsiTheme="minorHAnsi" w:cstheme="minorHAnsi"/>
          <w:b/>
          <w:sz w:val="24"/>
          <w:szCs w:val="24"/>
          <w:lang w:val="en-GB"/>
        </w:rPr>
      </w:pPr>
      <w:r w:rsidRPr="00215FA2">
        <w:rPr>
          <w:rFonts w:asciiTheme="minorHAnsi" w:hAnsiTheme="minorHAnsi" w:cstheme="minorHAnsi"/>
          <w:b/>
          <w:sz w:val="24"/>
          <w:szCs w:val="24"/>
          <w:lang w:val="en-GB"/>
        </w:rPr>
        <w:t>Joint Resource Mobilization</w:t>
      </w:r>
      <w:bookmarkEnd w:id="4"/>
      <w:bookmarkEnd w:id="5"/>
    </w:p>
    <w:p w14:paraId="5B57F75B" w14:textId="77777777" w:rsidR="00A05697" w:rsidRDefault="00A05697" w:rsidP="00A05697">
      <w:pPr>
        <w:spacing w:after="0" w:line="271" w:lineRule="auto"/>
        <w:jc w:val="both"/>
        <w:rPr>
          <w:rFonts w:cstheme="minorHAnsi"/>
          <w:sz w:val="24"/>
          <w:szCs w:val="24"/>
        </w:rPr>
      </w:pPr>
    </w:p>
    <w:p w14:paraId="58B9580A" w14:textId="77777777" w:rsidR="00A05697" w:rsidRPr="00215FA2" w:rsidRDefault="00A05697" w:rsidP="00A05697">
      <w:pPr>
        <w:spacing w:after="0" w:line="271" w:lineRule="auto"/>
        <w:jc w:val="both"/>
        <w:rPr>
          <w:rFonts w:cstheme="minorHAnsi"/>
          <w:sz w:val="24"/>
          <w:szCs w:val="24"/>
        </w:rPr>
      </w:pPr>
      <w:r w:rsidRPr="00215FA2">
        <w:rPr>
          <w:rFonts w:cstheme="minorHAnsi"/>
          <w:sz w:val="24"/>
          <w:szCs w:val="24"/>
        </w:rPr>
        <w:t>In 2019, the UN Country Team in Viet Nam continued to emphasize joint resource mobilization for OSP implementation and followed the Resident Coordinator’s strategic direction to move beyond joint programming towards joint programmes, which are more effective and coherent but also more attractive for resource mobilization from regional and global funding sources.</w:t>
      </w:r>
    </w:p>
    <w:p w14:paraId="59736CBF" w14:textId="77777777" w:rsidR="00A05697" w:rsidRDefault="00A05697" w:rsidP="00A05697">
      <w:pPr>
        <w:spacing w:after="0" w:line="271" w:lineRule="auto"/>
        <w:jc w:val="both"/>
        <w:rPr>
          <w:rFonts w:cstheme="minorHAnsi"/>
          <w:sz w:val="24"/>
          <w:szCs w:val="24"/>
        </w:rPr>
      </w:pPr>
    </w:p>
    <w:p w14:paraId="3C1FB18E" w14:textId="77777777" w:rsidR="00A05697" w:rsidRPr="00215FA2" w:rsidRDefault="00A05697" w:rsidP="00A05697">
      <w:pPr>
        <w:spacing w:after="0" w:line="271" w:lineRule="auto"/>
        <w:jc w:val="both"/>
        <w:rPr>
          <w:rFonts w:cstheme="minorHAnsi"/>
          <w:sz w:val="24"/>
          <w:szCs w:val="24"/>
        </w:rPr>
      </w:pPr>
      <w:r w:rsidRPr="00215FA2">
        <w:rPr>
          <w:rFonts w:cstheme="minorHAnsi"/>
          <w:sz w:val="24"/>
          <w:szCs w:val="24"/>
        </w:rPr>
        <w:t>In response to the Joint SDG Fund’s 2019 call for proposals, four UN agencies (ILO, UNDP, UNICEF, UNFPA)</w:t>
      </w:r>
      <w:r>
        <w:rPr>
          <w:rFonts w:cstheme="minorHAnsi"/>
          <w:sz w:val="24"/>
          <w:szCs w:val="24"/>
        </w:rPr>
        <w:t>,</w:t>
      </w:r>
      <w:r w:rsidRPr="00215FA2">
        <w:rPr>
          <w:rFonts w:cstheme="minorHAnsi"/>
          <w:sz w:val="24"/>
          <w:szCs w:val="24"/>
        </w:rPr>
        <w:t xml:space="preserve"> in cooperation with MOLISA</w:t>
      </w:r>
      <w:r>
        <w:rPr>
          <w:rFonts w:cstheme="minorHAnsi"/>
          <w:sz w:val="24"/>
          <w:szCs w:val="24"/>
        </w:rPr>
        <w:t>,</w:t>
      </w:r>
      <w:r w:rsidRPr="00215FA2">
        <w:rPr>
          <w:rFonts w:cstheme="minorHAnsi"/>
          <w:sz w:val="24"/>
          <w:szCs w:val="24"/>
        </w:rPr>
        <w:t xml:space="preserve"> submitted a Joint Programme proposal on “Accelerating Viet Nam’s transition toward inclusive and integrated social protection</w:t>
      </w:r>
      <w:r>
        <w:rPr>
          <w:rFonts w:cstheme="minorHAnsi"/>
          <w:sz w:val="24"/>
          <w:szCs w:val="24"/>
        </w:rPr>
        <w:t>.</w:t>
      </w:r>
      <w:r w:rsidRPr="00215FA2">
        <w:rPr>
          <w:rFonts w:cstheme="minorHAnsi"/>
          <w:sz w:val="24"/>
          <w:szCs w:val="24"/>
        </w:rPr>
        <w:t xml:space="preserve">” </w:t>
      </w:r>
      <w:r>
        <w:rPr>
          <w:rFonts w:cstheme="minorHAnsi"/>
          <w:sz w:val="24"/>
          <w:szCs w:val="24"/>
        </w:rPr>
        <w:t>The proposal</w:t>
      </w:r>
      <w:r w:rsidRPr="00215FA2">
        <w:rPr>
          <w:rFonts w:cstheme="minorHAnsi"/>
          <w:sz w:val="24"/>
          <w:szCs w:val="24"/>
        </w:rPr>
        <w:t xml:space="preserve"> was </w:t>
      </w:r>
      <w:r>
        <w:rPr>
          <w:rFonts w:cstheme="minorHAnsi"/>
          <w:sz w:val="24"/>
          <w:szCs w:val="24"/>
        </w:rPr>
        <w:t xml:space="preserve">one of 30-40 </w:t>
      </w:r>
      <w:r w:rsidRPr="00215FA2">
        <w:rPr>
          <w:rFonts w:cstheme="minorHAnsi"/>
          <w:sz w:val="24"/>
          <w:szCs w:val="24"/>
        </w:rPr>
        <w:t xml:space="preserve">out of approximately 130 countries worldwide to be awarded a grant of USD 2 million for two years </w:t>
      </w:r>
      <w:r>
        <w:rPr>
          <w:rFonts w:cstheme="minorHAnsi"/>
          <w:sz w:val="24"/>
          <w:szCs w:val="24"/>
        </w:rPr>
        <w:t>(</w:t>
      </w:r>
      <w:r w:rsidRPr="00215FA2">
        <w:rPr>
          <w:rFonts w:cstheme="minorHAnsi"/>
          <w:sz w:val="24"/>
          <w:szCs w:val="24"/>
        </w:rPr>
        <w:t>2020-2021</w:t>
      </w:r>
      <w:r>
        <w:rPr>
          <w:rFonts w:cstheme="minorHAnsi"/>
          <w:sz w:val="24"/>
          <w:szCs w:val="24"/>
        </w:rPr>
        <w:t>)</w:t>
      </w:r>
      <w:r w:rsidRPr="00215FA2">
        <w:rPr>
          <w:rFonts w:cstheme="minorHAnsi"/>
          <w:sz w:val="24"/>
          <w:szCs w:val="24"/>
        </w:rPr>
        <w:t>. The Joint Programme will support Viet Nam in developing an integrated</w:t>
      </w:r>
      <w:r>
        <w:rPr>
          <w:rFonts w:cstheme="minorHAnsi"/>
          <w:sz w:val="24"/>
          <w:szCs w:val="24"/>
        </w:rPr>
        <w:t>,</w:t>
      </w:r>
      <w:r w:rsidRPr="00215FA2">
        <w:rPr>
          <w:rFonts w:cstheme="minorHAnsi"/>
          <w:sz w:val="24"/>
          <w:szCs w:val="24"/>
        </w:rPr>
        <w:t xml:space="preserve"> multi-tiered social protection system using the life-cycle approach, including an extended social care services system and an innovative e-service delivery system.</w:t>
      </w:r>
    </w:p>
    <w:p w14:paraId="26EB6A15" w14:textId="77777777" w:rsidR="00A05697" w:rsidRPr="00215FA2" w:rsidRDefault="00A05697" w:rsidP="00A05697">
      <w:pPr>
        <w:pStyle w:val="ListParagraph"/>
        <w:spacing w:line="271" w:lineRule="auto"/>
        <w:ind w:left="0"/>
        <w:contextualSpacing w:val="0"/>
        <w:jc w:val="both"/>
        <w:rPr>
          <w:rFonts w:asciiTheme="minorHAnsi" w:hAnsiTheme="minorHAnsi" w:cstheme="minorHAnsi"/>
          <w:sz w:val="24"/>
          <w:szCs w:val="24"/>
        </w:rPr>
      </w:pPr>
    </w:p>
    <w:p w14:paraId="305164C6" w14:textId="77777777" w:rsidR="00A05697" w:rsidRPr="00215FA2" w:rsidRDefault="00A05697" w:rsidP="00A05697">
      <w:pPr>
        <w:pStyle w:val="ListParagraph"/>
        <w:spacing w:line="271" w:lineRule="auto"/>
        <w:ind w:left="0"/>
        <w:contextualSpacing w:val="0"/>
        <w:jc w:val="both"/>
        <w:rPr>
          <w:rFonts w:asciiTheme="minorHAnsi" w:hAnsiTheme="minorHAnsi" w:cstheme="minorHAnsi"/>
          <w:sz w:val="24"/>
          <w:szCs w:val="24"/>
        </w:rPr>
      </w:pPr>
      <w:r w:rsidRPr="00215FA2">
        <w:rPr>
          <w:rFonts w:asciiTheme="minorHAnsi" w:hAnsiTheme="minorHAnsi" w:cstheme="minorHAnsi"/>
          <w:sz w:val="24"/>
          <w:szCs w:val="24"/>
        </w:rPr>
        <w:t xml:space="preserve">In 2019, a new partnership with </w:t>
      </w:r>
      <w:proofErr w:type="spellStart"/>
      <w:r w:rsidRPr="00215FA2">
        <w:rPr>
          <w:rFonts w:asciiTheme="minorHAnsi" w:hAnsiTheme="minorHAnsi" w:cstheme="minorHAnsi"/>
          <w:sz w:val="24"/>
          <w:szCs w:val="24"/>
        </w:rPr>
        <w:t>Vietjet</w:t>
      </w:r>
      <w:proofErr w:type="spellEnd"/>
      <w:r w:rsidRPr="00215FA2">
        <w:rPr>
          <w:rFonts w:asciiTheme="minorHAnsi" w:hAnsiTheme="minorHAnsi" w:cstheme="minorHAnsi"/>
          <w:sz w:val="24"/>
          <w:szCs w:val="24"/>
        </w:rPr>
        <w:t xml:space="preserve"> was discussed which should mature in 2020, leading to </w:t>
      </w:r>
      <w:proofErr w:type="spellStart"/>
      <w:r w:rsidRPr="00215FA2">
        <w:rPr>
          <w:rFonts w:asciiTheme="minorHAnsi" w:hAnsiTheme="minorHAnsi" w:cstheme="minorHAnsi"/>
          <w:sz w:val="24"/>
          <w:szCs w:val="24"/>
        </w:rPr>
        <w:t>Vietjet</w:t>
      </w:r>
      <w:proofErr w:type="spellEnd"/>
      <w:r w:rsidRPr="00215FA2">
        <w:rPr>
          <w:rFonts w:asciiTheme="minorHAnsi" w:hAnsiTheme="minorHAnsi" w:cstheme="minorHAnsi"/>
          <w:sz w:val="24"/>
          <w:szCs w:val="24"/>
        </w:rPr>
        <w:t xml:space="preserve"> </w:t>
      </w:r>
      <w:r>
        <w:rPr>
          <w:rFonts w:asciiTheme="minorHAnsi" w:hAnsiTheme="minorHAnsi" w:cstheme="minorHAnsi"/>
          <w:sz w:val="24"/>
          <w:szCs w:val="24"/>
        </w:rPr>
        <w:t xml:space="preserve">providing </w:t>
      </w:r>
      <w:r w:rsidRPr="00215FA2">
        <w:rPr>
          <w:rFonts w:asciiTheme="minorHAnsi" w:hAnsiTheme="minorHAnsi" w:cstheme="minorHAnsi"/>
          <w:sz w:val="24"/>
          <w:szCs w:val="24"/>
        </w:rPr>
        <w:t xml:space="preserve">USD600,000 to implement the UNESCO-UNIDO-UNHABITAT </w:t>
      </w:r>
      <w:r>
        <w:rPr>
          <w:rFonts w:asciiTheme="minorHAnsi" w:hAnsiTheme="minorHAnsi" w:cstheme="minorHAnsi"/>
          <w:sz w:val="24"/>
          <w:szCs w:val="24"/>
        </w:rPr>
        <w:t>J</w:t>
      </w:r>
      <w:r w:rsidRPr="00215FA2">
        <w:rPr>
          <w:rFonts w:asciiTheme="minorHAnsi" w:hAnsiTheme="minorHAnsi" w:cstheme="minorHAnsi"/>
          <w:sz w:val="24"/>
          <w:szCs w:val="24"/>
        </w:rPr>
        <w:t xml:space="preserve">oint </w:t>
      </w:r>
      <w:r>
        <w:rPr>
          <w:rFonts w:asciiTheme="minorHAnsi" w:hAnsiTheme="minorHAnsi" w:cstheme="minorHAnsi"/>
          <w:sz w:val="24"/>
          <w:szCs w:val="24"/>
        </w:rPr>
        <w:t>P</w:t>
      </w:r>
      <w:r w:rsidRPr="00215FA2">
        <w:rPr>
          <w:rFonts w:asciiTheme="minorHAnsi" w:hAnsiTheme="minorHAnsi" w:cstheme="minorHAnsi"/>
          <w:sz w:val="24"/>
          <w:szCs w:val="24"/>
        </w:rPr>
        <w:t xml:space="preserve">rogram on “Mobilizing Cultural Dynamics and Youth Participation for Ha </w:t>
      </w:r>
      <w:proofErr w:type="spellStart"/>
      <w:r w:rsidRPr="00215FA2">
        <w:rPr>
          <w:rFonts w:asciiTheme="minorHAnsi" w:hAnsiTheme="minorHAnsi" w:cstheme="minorHAnsi"/>
          <w:sz w:val="24"/>
          <w:szCs w:val="24"/>
        </w:rPr>
        <w:t>Noi</w:t>
      </w:r>
      <w:proofErr w:type="spellEnd"/>
      <w:r w:rsidRPr="00215FA2">
        <w:rPr>
          <w:rFonts w:asciiTheme="minorHAnsi" w:hAnsiTheme="minorHAnsi" w:cstheme="minorHAnsi"/>
          <w:sz w:val="24"/>
          <w:szCs w:val="24"/>
        </w:rPr>
        <w:t xml:space="preserve"> Creative Capital</w:t>
      </w:r>
      <w:r>
        <w:rPr>
          <w:rFonts w:asciiTheme="minorHAnsi" w:hAnsiTheme="minorHAnsi" w:cstheme="minorHAnsi"/>
          <w:sz w:val="24"/>
          <w:szCs w:val="24"/>
        </w:rPr>
        <w:t>.</w:t>
      </w:r>
      <w:r w:rsidRPr="00215FA2">
        <w:rPr>
          <w:rFonts w:asciiTheme="minorHAnsi" w:hAnsiTheme="minorHAnsi" w:cstheme="minorHAnsi"/>
          <w:sz w:val="24"/>
          <w:szCs w:val="24"/>
        </w:rPr>
        <w:t xml:space="preserve">” This fund will be channeled through the Viet Nam SDG Fund, administered by the MPTF-O. The </w:t>
      </w:r>
      <w:proofErr w:type="spellStart"/>
      <w:r w:rsidRPr="00215FA2">
        <w:rPr>
          <w:rFonts w:asciiTheme="minorHAnsi" w:hAnsiTheme="minorHAnsi" w:cstheme="minorHAnsi"/>
          <w:sz w:val="24"/>
          <w:szCs w:val="24"/>
        </w:rPr>
        <w:t>Vietjet</w:t>
      </w:r>
      <w:proofErr w:type="spellEnd"/>
      <w:r w:rsidRPr="00215FA2">
        <w:rPr>
          <w:rFonts w:asciiTheme="minorHAnsi" w:hAnsiTheme="minorHAnsi" w:cstheme="minorHAnsi"/>
          <w:sz w:val="24"/>
          <w:szCs w:val="24"/>
        </w:rPr>
        <w:t xml:space="preserve"> Fund for Vietnam’s Heritage and Innovation</w:t>
      </w:r>
      <w:r>
        <w:rPr>
          <w:rFonts w:asciiTheme="minorHAnsi" w:hAnsiTheme="minorHAnsi" w:cstheme="minorHAnsi"/>
          <w:sz w:val="24"/>
          <w:szCs w:val="24"/>
        </w:rPr>
        <w:t>,</w:t>
      </w:r>
      <w:r w:rsidRPr="00215FA2">
        <w:rPr>
          <w:rFonts w:asciiTheme="minorHAnsi" w:hAnsiTheme="minorHAnsi" w:cstheme="minorHAnsi"/>
          <w:sz w:val="24"/>
          <w:szCs w:val="24"/>
        </w:rPr>
        <w:t xml:space="preserve"> which is planned to be established under this partnership</w:t>
      </w:r>
      <w:r>
        <w:rPr>
          <w:rFonts w:asciiTheme="minorHAnsi" w:hAnsiTheme="minorHAnsi" w:cstheme="minorHAnsi"/>
          <w:sz w:val="24"/>
          <w:szCs w:val="24"/>
        </w:rPr>
        <w:t>,</w:t>
      </w:r>
      <w:r w:rsidRPr="00215FA2">
        <w:rPr>
          <w:rFonts w:asciiTheme="minorHAnsi" w:hAnsiTheme="minorHAnsi" w:cstheme="minorHAnsi"/>
          <w:sz w:val="24"/>
          <w:szCs w:val="24"/>
        </w:rPr>
        <w:t xml:space="preserve"> is envisaged as a platform to encourage additional and long-term collaboration between the UN in Viet Nam, SOVICO (</w:t>
      </w:r>
      <w:proofErr w:type="spellStart"/>
      <w:r w:rsidRPr="00215FA2">
        <w:rPr>
          <w:rFonts w:asciiTheme="minorHAnsi" w:hAnsiTheme="minorHAnsi" w:cstheme="minorHAnsi"/>
          <w:sz w:val="24"/>
          <w:szCs w:val="24"/>
        </w:rPr>
        <w:t>Vietjet’s</w:t>
      </w:r>
      <w:proofErr w:type="spellEnd"/>
      <w:r w:rsidRPr="00215FA2">
        <w:rPr>
          <w:rFonts w:asciiTheme="minorHAnsi" w:hAnsiTheme="minorHAnsi" w:cstheme="minorHAnsi"/>
          <w:sz w:val="24"/>
          <w:szCs w:val="24"/>
        </w:rPr>
        <w:t xml:space="preserve"> parent cooperation) and other national partners </w:t>
      </w:r>
      <w:r>
        <w:rPr>
          <w:rFonts w:asciiTheme="minorHAnsi" w:hAnsiTheme="minorHAnsi" w:cstheme="minorHAnsi"/>
          <w:sz w:val="24"/>
          <w:szCs w:val="24"/>
        </w:rPr>
        <w:t>(</w:t>
      </w:r>
      <w:r w:rsidRPr="00215FA2">
        <w:rPr>
          <w:rFonts w:asciiTheme="minorHAnsi" w:hAnsiTheme="minorHAnsi" w:cstheme="minorHAnsi"/>
          <w:sz w:val="24"/>
          <w:szCs w:val="24"/>
        </w:rPr>
        <w:t>especially youth and social innovators</w:t>
      </w:r>
      <w:r>
        <w:rPr>
          <w:rFonts w:asciiTheme="minorHAnsi" w:hAnsiTheme="minorHAnsi" w:cstheme="minorHAnsi"/>
          <w:sz w:val="24"/>
          <w:szCs w:val="24"/>
        </w:rPr>
        <w:t>)</w:t>
      </w:r>
      <w:r w:rsidRPr="00215FA2">
        <w:rPr>
          <w:rFonts w:asciiTheme="minorHAnsi" w:hAnsiTheme="minorHAnsi" w:cstheme="minorHAnsi"/>
          <w:sz w:val="24"/>
          <w:szCs w:val="24"/>
        </w:rPr>
        <w:t xml:space="preserve"> to preserve and promote Vietnam’s cultural heritage and sustainable tourism.  </w:t>
      </w:r>
    </w:p>
    <w:p w14:paraId="3D93BBCC" w14:textId="77777777" w:rsidR="00A05697" w:rsidRPr="00215FA2" w:rsidRDefault="00A05697" w:rsidP="00A05697">
      <w:pPr>
        <w:tabs>
          <w:tab w:val="left" w:pos="9990"/>
        </w:tabs>
        <w:spacing w:after="0" w:line="271" w:lineRule="auto"/>
        <w:jc w:val="both"/>
        <w:rPr>
          <w:rFonts w:cstheme="minorHAnsi"/>
          <w:sz w:val="24"/>
          <w:szCs w:val="24"/>
        </w:rPr>
      </w:pPr>
    </w:p>
    <w:p w14:paraId="67985FF7" w14:textId="77777777" w:rsidR="00A05697" w:rsidRDefault="00A05697" w:rsidP="00A05697">
      <w:pPr>
        <w:tabs>
          <w:tab w:val="left" w:pos="9990"/>
        </w:tabs>
        <w:spacing w:after="0" w:line="271" w:lineRule="auto"/>
        <w:jc w:val="both"/>
        <w:rPr>
          <w:rFonts w:cstheme="minorHAnsi"/>
          <w:sz w:val="24"/>
          <w:szCs w:val="24"/>
        </w:rPr>
      </w:pPr>
      <w:r w:rsidRPr="00215FA2">
        <w:rPr>
          <w:rFonts w:cstheme="minorHAnsi"/>
          <w:sz w:val="24"/>
          <w:szCs w:val="24"/>
        </w:rPr>
        <w:t xml:space="preserve">Other joint resource mobilization efforts include UNESCO and UNICEF’s support to the GOVN in securing a grant of USD467,000 from the Global Partnership for Education (GPE) for 2019-2021 to develop </w:t>
      </w:r>
      <w:r>
        <w:rPr>
          <w:rFonts w:cstheme="minorHAnsi"/>
          <w:sz w:val="24"/>
          <w:szCs w:val="24"/>
        </w:rPr>
        <w:t>a</w:t>
      </w:r>
      <w:r w:rsidRPr="00215FA2">
        <w:rPr>
          <w:rFonts w:cstheme="minorHAnsi"/>
          <w:sz w:val="24"/>
          <w:szCs w:val="24"/>
        </w:rPr>
        <w:t xml:space="preserve"> national education development plan. UNDP and WHO received USD636,000 from a multi-partner consortium (including HR Wallingford, UNDP, WHO, the London School of Hygiene and Tropical Medicine, the Met Office and Oxford Policy Management in the UK, and the GOVN) to implement the </w:t>
      </w:r>
      <w:r>
        <w:rPr>
          <w:rFonts w:cstheme="minorHAnsi"/>
          <w:sz w:val="24"/>
          <w:szCs w:val="24"/>
        </w:rPr>
        <w:t>J</w:t>
      </w:r>
      <w:r w:rsidRPr="00215FA2">
        <w:rPr>
          <w:rFonts w:cstheme="minorHAnsi"/>
          <w:sz w:val="24"/>
          <w:szCs w:val="24"/>
        </w:rPr>
        <w:t xml:space="preserve">oint </w:t>
      </w:r>
      <w:r>
        <w:rPr>
          <w:rFonts w:cstheme="minorHAnsi"/>
          <w:sz w:val="24"/>
          <w:szCs w:val="24"/>
        </w:rPr>
        <w:t>P</w:t>
      </w:r>
      <w:r w:rsidRPr="00215FA2">
        <w:rPr>
          <w:rFonts w:cstheme="minorHAnsi"/>
          <w:sz w:val="24"/>
          <w:szCs w:val="24"/>
        </w:rPr>
        <w:t>rogram “Dengue Model forecasting Satellite-based System</w:t>
      </w:r>
      <w:r>
        <w:rPr>
          <w:rFonts w:cstheme="minorHAnsi"/>
          <w:sz w:val="24"/>
          <w:szCs w:val="24"/>
        </w:rPr>
        <w:t xml:space="preserve">” </w:t>
      </w:r>
      <w:r w:rsidRPr="00215FA2">
        <w:rPr>
          <w:rFonts w:cstheme="minorHAnsi"/>
          <w:sz w:val="24"/>
          <w:szCs w:val="24"/>
        </w:rPr>
        <w:t>(D-</w:t>
      </w:r>
      <w:r w:rsidRPr="00215FA2">
        <w:rPr>
          <w:rFonts w:cstheme="minorHAnsi"/>
          <w:sz w:val="24"/>
          <w:szCs w:val="24"/>
        </w:rPr>
        <w:lastRenderedPageBreak/>
        <w:t xml:space="preserve">MOSS). UN Women, FAO, and UNICEF jointly mobilized USD534,000 from ECHO to implement phase two of the </w:t>
      </w:r>
      <w:r>
        <w:rPr>
          <w:rFonts w:cstheme="minorHAnsi"/>
          <w:sz w:val="24"/>
          <w:szCs w:val="24"/>
        </w:rPr>
        <w:t>J</w:t>
      </w:r>
      <w:r w:rsidRPr="00215FA2">
        <w:rPr>
          <w:rFonts w:cstheme="minorHAnsi"/>
          <w:sz w:val="24"/>
          <w:szCs w:val="24"/>
        </w:rPr>
        <w:t xml:space="preserve">oint </w:t>
      </w:r>
      <w:r>
        <w:rPr>
          <w:rFonts w:cstheme="minorHAnsi"/>
          <w:sz w:val="24"/>
          <w:szCs w:val="24"/>
        </w:rPr>
        <w:t>P</w:t>
      </w:r>
      <w:r w:rsidRPr="00215FA2">
        <w:rPr>
          <w:rFonts w:cstheme="minorHAnsi"/>
          <w:sz w:val="24"/>
          <w:szCs w:val="24"/>
        </w:rPr>
        <w:t>rogram on scaling up Forecast based Financing/Early Warning Early Action (</w:t>
      </w:r>
      <w:proofErr w:type="spellStart"/>
      <w:r w:rsidRPr="00215FA2">
        <w:rPr>
          <w:rFonts w:cstheme="minorHAnsi"/>
          <w:sz w:val="24"/>
          <w:szCs w:val="24"/>
        </w:rPr>
        <w:t>FbF</w:t>
      </w:r>
      <w:proofErr w:type="spellEnd"/>
      <w:r w:rsidRPr="00215FA2">
        <w:rPr>
          <w:rFonts w:cstheme="minorHAnsi"/>
          <w:sz w:val="24"/>
          <w:szCs w:val="24"/>
        </w:rPr>
        <w:t>/ EWEA) and Shock Responsive Social Protection (SRSP).</w:t>
      </w:r>
    </w:p>
    <w:p w14:paraId="5BA68548" w14:textId="77777777" w:rsidR="00A05697" w:rsidRPr="00215FA2" w:rsidRDefault="00A05697" w:rsidP="00A05697">
      <w:pPr>
        <w:tabs>
          <w:tab w:val="left" w:pos="9990"/>
        </w:tabs>
        <w:spacing w:after="0" w:line="271" w:lineRule="auto"/>
        <w:jc w:val="both"/>
        <w:rPr>
          <w:rFonts w:cstheme="minorHAnsi"/>
          <w:sz w:val="24"/>
          <w:szCs w:val="24"/>
          <w:lang w:val="en-GB"/>
        </w:rPr>
      </w:pPr>
    </w:p>
    <w:p w14:paraId="1E541358" w14:textId="77777777" w:rsidR="00A05697" w:rsidRPr="00215FA2" w:rsidRDefault="00A05697" w:rsidP="00A05697">
      <w:pPr>
        <w:pStyle w:val="Heading2"/>
        <w:tabs>
          <w:tab w:val="left" w:pos="9990"/>
        </w:tabs>
        <w:spacing w:before="0" w:line="271" w:lineRule="auto"/>
        <w:jc w:val="both"/>
        <w:rPr>
          <w:rFonts w:asciiTheme="minorHAnsi" w:hAnsiTheme="minorHAnsi" w:cstheme="minorHAnsi"/>
          <w:b/>
          <w:sz w:val="24"/>
          <w:szCs w:val="24"/>
          <w:lang w:val="en-GB"/>
        </w:rPr>
      </w:pPr>
      <w:bookmarkStart w:id="6" w:name="_Toc2329740"/>
      <w:bookmarkStart w:id="7" w:name="_Toc39498910"/>
      <w:r w:rsidRPr="00215FA2">
        <w:rPr>
          <w:rFonts w:asciiTheme="minorHAnsi" w:hAnsiTheme="minorHAnsi" w:cstheme="minorHAnsi"/>
          <w:b/>
          <w:sz w:val="24"/>
          <w:szCs w:val="24"/>
          <w:lang w:val="en-GB"/>
        </w:rPr>
        <w:t>201</w:t>
      </w:r>
      <w:r>
        <w:rPr>
          <w:rFonts w:asciiTheme="minorHAnsi" w:hAnsiTheme="minorHAnsi" w:cstheme="minorHAnsi"/>
          <w:b/>
          <w:sz w:val="24"/>
          <w:szCs w:val="24"/>
          <w:lang w:val="en-GB"/>
        </w:rPr>
        <w:t>9</w:t>
      </w:r>
      <w:r w:rsidRPr="00215FA2">
        <w:rPr>
          <w:rFonts w:asciiTheme="minorHAnsi" w:hAnsiTheme="minorHAnsi" w:cstheme="minorHAnsi"/>
          <w:b/>
          <w:sz w:val="24"/>
          <w:szCs w:val="24"/>
          <w:lang w:val="en-GB"/>
        </w:rPr>
        <w:t xml:space="preserve"> Budget and Spending</w:t>
      </w:r>
      <w:bookmarkEnd w:id="6"/>
      <w:bookmarkEnd w:id="7"/>
    </w:p>
    <w:p w14:paraId="1A76D7EF" w14:textId="77777777" w:rsidR="00A05697" w:rsidRDefault="00A05697" w:rsidP="00A05697">
      <w:pPr>
        <w:spacing w:after="0" w:line="271" w:lineRule="auto"/>
        <w:jc w:val="both"/>
        <w:rPr>
          <w:rFonts w:cstheme="minorHAnsi"/>
          <w:sz w:val="24"/>
          <w:szCs w:val="24"/>
        </w:rPr>
      </w:pPr>
    </w:p>
    <w:p w14:paraId="5C46B1CE" w14:textId="77777777" w:rsidR="00A05697" w:rsidRDefault="00A05697" w:rsidP="00A05697">
      <w:pPr>
        <w:spacing w:after="0" w:line="271" w:lineRule="auto"/>
        <w:jc w:val="both"/>
        <w:rPr>
          <w:rFonts w:cstheme="minorHAnsi"/>
          <w:sz w:val="24"/>
          <w:szCs w:val="24"/>
        </w:rPr>
      </w:pPr>
      <w:r w:rsidRPr="00215FA2">
        <w:rPr>
          <w:rFonts w:cstheme="minorHAnsi"/>
          <w:sz w:val="24"/>
          <w:szCs w:val="24"/>
        </w:rPr>
        <w:t>In total, the UN in Viet Nam was able to mobilize approximately USD7</w:t>
      </w:r>
      <w:r>
        <w:rPr>
          <w:rFonts w:cstheme="minorHAnsi"/>
          <w:sz w:val="24"/>
          <w:szCs w:val="24"/>
        </w:rPr>
        <w:t>7.4</w:t>
      </w:r>
      <w:r w:rsidRPr="00215FA2">
        <w:rPr>
          <w:rFonts w:cstheme="minorHAnsi"/>
          <w:sz w:val="24"/>
          <w:szCs w:val="24"/>
        </w:rPr>
        <w:t xml:space="preserve"> million, equivalent to 8</w:t>
      </w:r>
      <w:r>
        <w:rPr>
          <w:rFonts w:cstheme="minorHAnsi"/>
          <w:sz w:val="24"/>
          <w:szCs w:val="24"/>
        </w:rPr>
        <w:t>4.2</w:t>
      </w:r>
      <w:r w:rsidRPr="00215FA2">
        <w:rPr>
          <w:rFonts w:cstheme="minorHAnsi"/>
          <w:sz w:val="24"/>
          <w:szCs w:val="24"/>
        </w:rPr>
        <w:t xml:space="preserve"> per cent of the total planned budget for 2019</w:t>
      </w:r>
      <w:r>
        <w:rPr>
          <w:rFonts w:cstheme="minorHAnsi"/>
          <w:sz w:val="24"/>
          <w:szCs w:val="24"/>
        </w:rPr>
        <w:t xml:space="preserve"> of about USD91.9 million, which was significantly lower than the mobilized amount of each of the last two years of 2017 and 2018. This reflects the impact of the overall </w:t>
      </w:r>
      <w:r w:rsidRPr="00314EC9">
        <w:rPr>
          <w:rFonts w:cstheme="minorHAnsi"/>
          <w:sz w:val="24"/>
          <w:szCs w:val="24"/>
        </w:rPr>
        <w:t>declin</w:t>
      </w:r>
      <w:r>
        <w:rPr>
          <w:rFonts w:cstheme="minorHAnsi"/>
          <w:sz w:val="24"/>
          <w:szCs w:val="24"/>
        </w:rPr>
        <w:t>e in grant</w:t>
      </w:r>
      <w:r w:rsidRPr="00314EC9">
        <w:rPr>
          <w:rFonts w:cstheme="minorHAnsi"/>
          <w:sz w:val="24"/>
          <w:szCs w:val="24"/>
        </w:rPr>
        <w:t xml:space="preserve"> ODA </w:t>
      </w:r>
      <w:r>
        <w:rPr>
          <w:rFonts w:cstheme="minorHAnsi"/>
          <w:sz w:val="24"/>
          <w:szCs w:val="24"/>
        </w:rPr>
        <w:t xml:space="preserve">in Viet Nam. Nevertheless, the accumulated 3-year mobilization accounted for roughly 71 per cent of the OSP’s total five-year estimated budget of USD423 million, showing that the UN and the GOVN were still on track in terms of planned resource mobilization for OSP implementation.    </w:t>
      </w:r>
    </w:p>
    <w:p w14:paraId="1F201EB4" w14:textId="77777777" w:rsidR="00A05697" w:rsidRPr="00215FA2" w:rsidRDefault="00A05697" w:rsidP="00A05697">
      <w:pPr>
        <w:tabs>
          <w:tab w:val="left" w:pos="9990"/>
        </w:tabs>
        <w:spacing w:after="0" w:line="271" w:lineRule="auto"/>
        <w:jc w:val="both"/>
        <w:rPr>
          <w:rFonts w:cstheme="minorHAnsi"/>
          <w:sz w:val="24"/>
          <w:szCs w:val="24"/>
          <w:lang w:val="en-GB"/>
        </w:rPr>
      </w:pPr>
    </w:p>
    <w:p w14:paraId="2E46A453" w14:textId="145FA637" w:rsidR="00A05697" w:rsidRDefault="00A05697" w:rsidP="00A05697">
      <w:pPr>
        <w:tabs>
          <w:tab w:val="left" w:pos="9990"/>
        </w:tabs>
        <w:spacing w:after="0" w:line="271" w:lineRule="auto"/>
        <w:jc w:val="both"/>
        <w:rPr>
          <w:rFonts w:cstheme="minorHAnsi"/>
          <w:b/>
          <w:lang w:val="en-GB"/>
        </w:rPr>
      </w:pPr>
      <w:r w:rsidRPr="003802C4">
        <w:rPr>
          <w:rFonts w:cstheme="minorHAnsi"/>
          <w:b/>
          <w:lang w:val="en-GB"/>
        </w:rPr>
        <w:t>Table</w:t>
      </w:r>
      <w:r w:rsidR="003802C4" w:rsidRPr="003802C4">
        <w:rPr>
          <w:rFonts w:cstheme="minorHAnsi"/>
          <w:b/>
          <w:lang w:val="en-GB"/>
        </w:rPr>
        <w:t xml:space="preserve"> 1.</w:t>
      </w:r>
      <w:r w:rsidRPr="00761539">
        <w:rPr>
          <w:rFonts w:cstheme="minorHAnsi"/>
          <w:b/>
          <w:lang w:val="en-GB"/>
        </w:rPr>
        <w:t xml:space="preserve"> OSP 201</w:t>
      </w:r>
      <w:r>
        <w:rPr>
          <w:rFonts w:cstheme="minorHAnsi"/>
          <w:b/>
          <w:lang w:val="en-GB"/>
        </w:rPr>
        <w:t>9</w:t>
      </w:r>
      <w:r w:rsidRPr="00761539">
        <w:rPr>
          <w:rFonts w:cstheme="minorHAnsi"/>
          <w:b/>
          <w:lang w:val="en-GB"/>
        </w:rPr>
        <w:t xml:space="preserve"> Budget (in USD)</w:t>
      </w:r>
    </w:p>
    <w:tbl>
      <w:tblPr>
        <w:tblW w:w="9520" w:type="dxa"/>
        <w:tblLook w:val="04A0" w:firstRow="1" w:lastRow="0" w:firstColumn="1" w:lastColumn="0" w:noHBand="0" w:noVBand="1"/>
      </w:tblPr>
      <w:tblGrid>
        <w:gridCol w:w="1180"/>
        <w:gridCol w:w="1380"/>
        <w:gridCol w:w="1740"/>
        <w:gridCol w:w="1740"/>
        <w:gridCol w:w="1740"/>
        <w:gridCol w:w="1740"/>
      </w:tblGrid>
      <w:tr w:rsidR="00A05697" w:rsidRPr="000E6AC8" w14:paraId="702D8CEA" w14:textId="77777777" w:rsidTr="00ED2C84">
        <w:trPr>
          <w:trHeight w:val="555"/>
        </w:trPr>
        <w:tc>
          <w:tcPr>
            <w:tcW w:w="118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71AE22F" w14:textId="77777777" w:rsidR="00A05697" w:rsidRPr="000E6AC8" w:rsidRDefault="00A05697" w:rsidP="00ED2C84">
            <w:pPr>
              <w:spacing w:after="0" w:line="240" w:lineRule="auto"/>
              <w:jc w:val="center"/>
              <w:rPr>
                <w:rFonts w:ascii="Calibri" w:eastAsia="Times New Roman" w:hAnsi="Calibri" w:cs="Calibri"/>
                <w:b/>
                <w:bCs/>
                <w:color w:val="000000"/>
              </w:rPr>
            </w:pPr>
            <w:r w:rsidRPr="000E6AC8">
              <w:rPr>
                <w:rFonts w:ascii="Calibri" w:eastAsia="Times New Roman" w:hAnsi="Calibri" w:cs="Calibri"/>
                <w:b/>
                <w:bCs/>
                <w:color w:val="000000"/>
              </w:rPr>
              <w:t>Focus Areas</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D6423B5" w14:textId="77777777" w:rsidR="00A05697" w:rsidRPr="000E6AC8" w:rsidRDefault="00A05697" w:rsidP="00ED2C84">
            <w:pPr>
              <w:spacing w:after="0" w:line="240" w:lineRule="auto"/>
              <w:jc w:val="center"/>
              <w:rPr>
                <w:rFonts w:ascii="Calibri" w:eastAsia="Times New Roman" w:hAnsi="Calibri" w:cs="Calibri"/>
                <w:b/>
                <w:bCs/>
                <w:color w:val="000000"/>
              </w:rPr>
            </w:pPr>
            <w:r w:rsidRPr="000E6AC8">
              <w:rPr>
                <w:rFonts w:ascii="Calibri" w:eastAsia="Times New Roman" w:hAnsi="Calibri" w:cs="Calibri"/>
                <w:b/>
                <w:bCs/>
                <w:color w:val="000000"/>
              </w:rPr>
              <w:t>Outcomes</w:t>
            </w:r>
          </w:p>
        </w:tc>
        <w:tc>
          <w:tcPr>
            <w:tcW w:w="6960" w:type="dxa"/>
            <w:gridSpan w:val="4"/>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55BA892E" w14:textId="77777777" w:rsidR="00A05697" w:rsidRPr="000E6AC8" w:rsidRDefault="00A05697" w:rsidP="00ED2C84">
            <w:pPr>
              <w:spacing w:after="0" w:line="240" w:lineRule="auto"/>
              <w:jc w:val="center"/>
              <w:rPr>
                <w:rFonts w:ascii="Calibri" w:eastAsia="Times New Roman" w:hAnsi="Calibri" w:cs="Calibri"/>
                <w:b/>
                <w:bCs/>
                <w:color w:val="000000"/>
              </w:rPr>
            </w:pPr>
            <w:r w:rsidRPr="000E6AC8">
              <w:rPr>
                <w:rFonts w:ascii="Calibri" w:eastAsia="Times New Roman" w:hAnsi="Calibri" w:cs="Calibri"/>
                <w:b/>
                <w:bCs/>
                <w:color w:val="000000"/>
              </w:rPr>
              <w:t>2019</w:t>
            </w:r>
          </w:p>
        </w:tc>
      </w:tr>
      <w:tr w:rsidR="00A05697" w:rsidRPr="000E6AC8" w14:paraId="63D22D44" w14:textId="77777777" w:rsidTr="00ED2C84">
        <w:trPr>
          <w:trHeight w:val="580"/>
        </w:trPr>
        <w:tc>
          <w:tcPr>
            <w:tcW w:w="1180"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83D9BB" w14:textId="77777777" w:rsidR="00A05697" w:rsidRPr="000E6AC8" w:rsidRDefault="00A05697" w:rsidP="00ED2C84">
            <w:pPr>
              <w:spacing w:after="0" w:line="240" w:lineRule="auto"/>
              <w:rPr>
                <w:rFonts w:ascii="Calibri" w:eastAsia="Times New Roman" w:hAnsi="Calibri" w:cs="Calibri"/>
                <w:b/>
                <w:bCs/>
                <w:color w:val="000000"/>
              </w:rPr>
            </w:pPr>
          </w:p>
        </w:tc>
        <w:tc>
          <w:tcPr>
            <w:tcW w:w="1380"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344A3FD" w14:textId="77777777" w:rsidR="00A05697" w:rsidRPr="000E6AC8" w:rsidRDefault="00A05697" w:rsidP="00ED2C84">
            <w:pPr>
              <w:spacing w:after="0" w:line="240" w:lineRule="auto"/>
              <w:rPr>
                <w:rFonts w:ascii="Calibri" w:eastAsia="Times New Roman" w:hAnsi="Calibri" w:cs="Calibri"/>
                <w:b/>
                <w:bCs/>
                <w:color w:val="000000"/>
              </w:rPr>
            </w:pPr>
          </w:p>
        </w:tc>
        <w:tc>
          <w:tcPr>
            <w:tcW w:w="174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3B53FE92" w14:textId="77777777" w:rsidR="00A05697" w:rsidRPr="000E6AC8" w:rsidRDefault="00A05697" w:rsidP="00ED2C84">
            <w:pPr>
              <w:spacing w:after="0" w:line="240" w:lineRule="auto"/>
              <w:jc w:val="center"/>
              <w:rPr>
                <w:rFonts w:ascii="Calibri" w:eastAsia="Times New Roman" w:hAnsi="Calibri" w:cs="Calibri"/>
                <w:b/>
                <w:bCs/>
                <w:color w:val="000000"/>
              </w:rPr>
            </w:pPr>
            <w:r w:rsidRPr="000E6AC8">
              <w:rPr>
                <w:rFonts w:ascii="Calibri" w:eastAsia="Times New Roman" w:hAnsi="Calibri" w:cs="Calibri"/>
                <w:b/>
                <w:bCs/>
                <w:color w:val="000000"/>
              </w:rPr>
              <w:t xml:space="preserve">Total </w:t>
            </w:r>
            <w:r>
              <w:rPr>
                <w:rFonts w:ascii="Calibri" w:eastAsia="Times New Roman" w:hAnsi="Calibri" w:cs="Calibri"/>
                <w:b/>
                <w:bCs/>
                <w:color w:val="000000"/>
              </w:rPr>
              <w:t xml:space="preserve">Required </w:t>
            </w:r>
          </w:p>
        </w:tc>
        <w:tc>
          <w:tcPr>
            <w:tcW w:w="174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205A02D4" w14:textId="77777777" w:rsidR="00A05697" w:rsidRPr="000E6AC8" w:rsidRDefault="00A05697" w:rsidP="00ED2C84">
            <w:pPr>
              <w:spacing w:after="0" w:line="240" w:lineRule="auto"/>
              <w:jc w:val="center"/>
              <w:rPr>
                <w:rFonts w:ascii="Calibri" w:eastAsia="Times New Roman" w:hAnsi="Calibri" w:cs="Calibri"/>
                <w:b/>
                <w:bCs/>
                <w:color w:val="000000"/>
              </w:rPr>
            </w:pPr>
            <w:r w:rsidRPr="000E6AC8">
              <w:rPr>
                <w:rFonts w:ascii="Calibri" w:eastAsia="Times New Roman" w:hAnsi="Calibri" w:cs="Calibri"/>
                <w:b/>
                <w:bCs/>
                <w:color w:val="000000"/>
              </w:rPr>
              <w:t xml:space="preserve">Available </w:t>
            </w:r>
          </w:p>
        </w:tc>
        <w:tc>
          <w:tcPr>
            <w:tcW w:w="174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382B460C" w14:textId="77777777" w:rsidR="00A05697" w:rsidRPr="000E6AC8" w:rsidRDefault="00A05697" w:rsidP="00ED2C8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Gap</w:t>
            </w:r>
          </w:p>
        </w:tc>
        <w:tc>
          <w:tcPr>
            <w:tcW w:w="174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6F2B1BB0" w14:textId="77777777" w:rsidR="00A05697" w:rsidRPr="000E6AC8" w:rsidRDefault="00A05697" w:rsidP="00ED2C84">
            <w:pPr>
              <w:spacing w:after="0" w:line="240" w:lineRule="auto"/>
              <w:jc w:val="center"/>
              <w:rPr>
                <w:rFonts w:ascii="Calibri" w:eastAsia="Times New Roman" w:hAnsi="Calibri" w:cs="Calibri"/>
                <w:b/>
                <w:bCs/>
                <w:color w:val="000000"/>
              </w:rPr>
            </w:pPr>
            <w:r w:rsidRPr="000E6AC8">
              <w:rPr>
                <w:rFonts w:ascii="Calibri" w:eastAsia="Times New Roman" w:hAnsi="Calibri" w:cs="Calibri"/>
                <w:b/>
                <w:bCs/>
                <w:color w:val="000000"/>
              </w:rPr>
              <w:t>Expenditure</w:t>
            </w:r>
          </w:p>
        </w:tc>
      </w:tr>
      <w:tr w:rsidR="00A05697" w:rsidRPr="000E6AC8" w14:paraId="61A814CB" w14:textId="77777777" w:rsidTr="00ED2C84">
        <w:trPr>
          <w:trHeight w:val="360"/>
        </w:trPr>
        <w:tc>
          <w:tcPr>
            <w:tcW w:w="1180" w:type="dxa"/>
            <w:vMerge w:val="restar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111F6D23" w14:textId="77777777" w:rsidR="00A05697" w:rsidRPr="000E6AC8" w:rsidRDefault="00A05697" w:rsidP="00ED2C84">
            <w:pPr>
              <w:spacing w:after="0" w:line="240" w:lineRule="auto"/>
              <w:rPr>
                <w:rFonts w:ascii="Calibri" w:eastAsia="Times New Roman" w:hAnsi="Calibri" w:cs="Calibri"/>
                <w:b/>
                <w:bCs/>
                <w:color w:val="000000"/>
              </w:rPr>
            </w:pPr>
            <w:r w:rsidRPr="000E6AC8">
              <w:rPr>
                <w:rFonts w:ascii="Calibri" w:eastAsia="Times New Roman" w:hAnsi="Calibri" w:cs="Calibri"/>
                <w:b/>
                <w:bCs/>
                <w:color w:val="000000"/>
              </w:rPr>
              <w:t>FA1</w:t>
            </w:r>
          </w:p>
        </w:tc>
        <w:tc>
          <w:tcPr>
            <w:tcW w:w="1380"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7DAA8C9C" w14:textId="77777777" w:rsidR="00A05697" w:rsidRPr="000E6AC8" w:rsidRDefault="00A05697" w:rsidP="00ED2C84">
            <w:pPr>
              <w:spacing w:after="0" w:line="240" w:lineRule="auto"/>
              <w:rPr>
                <w:rFonts w:ascii="Calibri" w:eastAsia="Times New Roman" w:hAnsi="Calibri" w:cs="Calibri"/>
                <w:color w:val="000000"/>
              </w:rPr>
            </w:pPr>
            <w:r w:rsidRPr="000E6AC8">
              <w:rPr>
                <w:rFonts w:ascii="Calibri" w:eastAsia="Times New Roman" w:hAnsi="Calibri" w:cs="Calibri"/>
                <w:color w:val="000000"/>
              </w:rPr>
              <w:t>Outcome 1.1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14605"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4,352,978.00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7DF58"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3,798,553.00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00F48"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554,425.00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70E9A"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2,601,896.81</w:t>
            </w:r>
          </w:p>
        </w:tc>
      </w:tr>
      <w:tr w:rsidR="00A05697" w:rsidRPr="000E6AC8" w14:paraId="36D6AD5F" w14:textId="77777777" w:rsidTr="00ED2C84">
        <w:trPr>
          <w:trHeight w:val="360"/>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08328A57" w14:textId="77777777" w:rsidR="00A05697" w:rsidRPr="000E6AC8" w:rsidRDefault="00A05697" w:rsidP="00ED2C84">
            <w:pPr>
              <w:spacing w:after="0" w:line="240" w:lineRule="auto"/>
              <w:rPr>
                <w:rFonts w:ascii="Calibri" w:eastAsia="Times New Roman" w:hAnsi="Calibri" w:cs="Calibri"/>
                <w:b/>
                <w:bCs/>
                <w:color w:val="000000"/>
              </w:rPr>
            </w:pPr>
          </w:p>
        </w:tc>
        <w:tc>
          <w:tcPr>
            <w:tcW w:w="1380"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15F1CFE0" w14:textId="77777777" w:rsidR="00A05697" w:rsidRPr="000E6AC8" w:rsidRDefault="00A05697" w:rsidP="00ED2C84">
            <w:pPr>
              <w:spacing w:after="0" w:line="240" w:lineRule="auto"/>
              <w:rPr>
                <w:rFonts w:ascii="Calibri" w:eastAsia="Times New Roman" w:hAnsi="Calibri" w:cs="Calibri"/>
                <w:color w:val="000000"/>
              </w:rPr>
            </w:pPr>
            <w:r w:rsidRPr="000E6AC8">
              <w:rPr>
                <w:rFonts w:ascii="Calibri" w:eastAsia="Times New Roman" w:hAnsi="Calibri" w:cs="Calibri"/>
                <w:color w:val="000000"/>
              </w:rPr>
              <w:t>Outcome 1.2</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0748D"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23,790,253.00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43D90"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12,592,299.09</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A65FF"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11,197,953.91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7D9AD"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15,307,498.00</w:t>
            </w:r>
          </w:p>
        </w:tc>
      </w:tr>
      <w:tr w:rsidR="00A05697" w:rsidRPr="000E6AC8" w14:paraId="491E6CDA" w14:textId="77777777" w:rsidTr="00ED2C84">
        <w:trPr>
          <w:trHeight w:val="360"/>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64C5E229" w14:textId="77777777" w:rsidR="00A05697" w:rsidRPr="000E6AC8" w:rsidRDefault="00A05697" w:rsidP="00ED2C84">
            <w:pPr>
              <w:spacing w:after="0" w:line="240" w:lineRule="auto"/>
              <w:rPr>
                <w:rFonts w:ascii="Calibri" w:eastAsia="Times New Roman" w:hAnsi="Calibri" w:cs="Calibri"/>
                <w:b/>
                <w:bCs/>
                <w:color w:val="000000"/>
              </w:rPr>
            </w:pPr>
          </w:p>
        </w:tc>
        <w:tc>
          <w:tcPr>
            <w:tcW w:w="1380"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16823822" w14:textId="77777777" w:rsidR="00A05697" w:rsidRPr="000E6AC8" w:rsidRDefault="00A05697" w:rsidP="00ED2C84">
            <w:pPr>
              <w:spacing w:after="0" w:line="240" w:lineRule="auto"/>
              <w:rPr>
                <w:rFonts w:ascii="Calibri" w:eastAsia="Times New Roman" w:hAnsi="Calibri" w:cs="Calibri"/>
                <w:color w:val="000000"/>
              </w:rPr>
            </w:pPr>
            <w:r w:rsidRPr="000E6AC8">
              <w:rPr>
                <w:rFonts w:ascii="Calibri" w:eastAsia="Times New Roman" w:hAnsi="Calibri" w:cs="Calibri"/>
                <w:color w:val="000000"/>
              </w:rPr>
              <w:t>Outcome 1.3</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01FC9"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4,076,710.00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14AC"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3,597,968.00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5DC3C"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478,742.00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EA3CB"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879,200.00</w:t>
            </w:r>
          </w:p>
        </w:tc>
      </w:tr>
      <w:tr w:rsidR="00A05697" w:rsidRPr="000E6AC8" w14:paraId="19E94548" w14:textId="77777777" w:rsidTr="00ED2C84">
        <w:trPr>
          <w:trHeight w:val="360"/>
        </w:trPr>
        <w:tc>
          <w:tcPr>
            <w:tcW w:w="1180" w:type="dxa"/>
            <w:vMerge w:val="restar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2F42CA54" w14:textId="77777777" w:rsidR="00A05697" w:rsidRPr="000E6AC8" w:rsidRDefault="00A05697" w:rsidP="00ED2C84">
            <w:pPr>
              <w:spacing w:after="0" w:line="240" w:lineRule="auto"/>
              <w:rPr>
                <w:rFonts w:ascii="Calibri" w:eastAsia="Times New Roman" w:hAnsi="Calibri" w:cs="Calibri"/>
                <w:b/>
                <w:bCs/>
                <w:color w:val="000000"/>
              </w:rPr>
            </w:pPr>
            <w:r w:rsidRPr="000E6AC8">
              <w:rPr>
                <w:rFonts w:ascii="Calibri" w:eastAsia="Times New Roman" w:hAnsi="Calibri" w:cs="Calibri"/>
                <w:b/>
                <w:bCs/>
                <w:color w:val="000000"/>
              </w:rPr>
              <w:t>FA2</w:t>
            </w:r>
          </w:p>
        </w:tc>
        <w:tc>
          <w:tcPr>
            <w:tcW w:w="1380"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3058B7E8" w14:textId="77777777" w:rsidR="00A05697" w:rsidRPr="000E6AC8" w:rsidRDefault="00A05697" w:rsidP="00ED2C84">
            <w:pPr>
              <w:spacing w:after="0" w:line="240" w:lineRule="auto"/>
              <w:rPr>
                <w:rFonts w:ascii="Calibri" w:eastAsia="Times New Roman" w:hAnsi="Calibri" w:cs="Calibri"/>
                <w:color w:val="000000"/>
              </w:rPr>
            </w:pPr>
            <w:r w:rsidRPr="000E6AC8">
              <w:rPr>
                <w:rFonts w:ascii="Calibri" w:eastAsia="Times New Roman" w:hAnsi="Calibri" w:cs="Calibri"/>
                <w:color w:val="000000"/>
              </w:rPr>
              <w:t>Outcome 2.1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40C62"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27,287,061.00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E1EC"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27,285,042.01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6D7CD"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2,018.99</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1AEBD"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21,303,332.42</w:t>
            </w:r>
          </w:p>
        </w:tc>
      </w:tr>
      <w:tr w:rsidR="00A05697" w:rsidRPr="000E6AC8" w14:paraId="6C31F24C" w14:textId="77777777" w:rsidTr="00ED2C84">
        <w:trPr>
          <w:trHeight w:val="360"/>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25138C9C" w14:textId="77777777" w:rsidR="00A05697" w:rsidRPr="000E6AC8" w:rsidRDefault="00A05697" w:rsidP="00ED2C84">
            <w:pPr>
              <w:spacing w:after="0" w:line="240" w:lineRule="auto"/>
              <w:rPr>
                <w:rFonts w:ascii="Calibri" w:eastAsia="Times New Roman" w:hAnsi="Calibri" w:cs="Calibri"/>
                <w:b/>
                <w:bCs/>
                <w:color w:val="000000"/>
              </w:rPr>
            </w:pPr>
          </w:p>
        </w:tc>
        <w:tc>
          <w:tcPr>
            <w:tcW w:w="1380"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7A061203" w14:textId="77777777" w:rsidR="00A05697" w:rsidRPr="000E6AC8" w:rsidRDefault="00A05697" w:rsidP="00ED2C84">
            <w:pPr>
              <w:spacing w:after="0" w:line="240" w:lineRule="auto"/>
              <w:rPr>
                <w:rFonts w:ascii="Calibri" w:eastAsia="Times New Roman" w:hAnsi="Calibri" w:cs="Calibri"/>
                <w:color w:val="000000"/>
              </w:rPr>
            </w:pPr>
            <w:r w:rsidRPr="000E6AC8">
              <w:rPr>
                <w:rFonts w:ascii="Calibri" w:eastAsia="Times New Roman" w:hAnsi="Calibri" w:cs="Calibri"/>
                <w:color w:val="000000"/>
              </w:rPr>
              <w:t>Outcome 2.2</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DF905"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3,396,147.76</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71F71"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3,396,147.76</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DF7BB"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5BE4A"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2,635,073.76</w:t>
            </w:r>
          </w:p>
        </w:tc>
      </w:tr>
      <w:tr w:rsidR="00A05697" w:rsidRPr="000E6AC8" w14:paraId="250EA16F" w14:textId="77777777" w:rsidTr="00ED2C84">
        <w:trPr>
          <w:trHeight w:val="360"/>
        </w:trPr>
        <w:tc>
          <w:tcPr>
            <w:tcW w:w="1180" w:type="dxa"/>
            <w:vMerge w:val="restar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53295082" w14:textId="77777777" w:rsidR="00A05697" w:rsidRPr="000E6AC8" w:rsidRDefault="00A05697" w:rsidP="00ED2C84">
            <w:pPr>
              <w:spacing w:after="0" w:line="240" w:lineRule="auto"/>
              <w:rPr>
                <w:rFonts w:ascii="Calibri" w:eastAsia="Times New Roman" w:hAnsi="Calibri" w:cs="Calibri"/>
                <w:b/>
                <w:bCs/>
                <w:color w:val="000000"/>
              </w:rPr>
            </w:pPr>
            <w:r w:rsidRPr="000E6AC8">
              <w:rPr>
                <w:rFonts w:ascii="Calibri" w:eastAsia="Times New Roman" w:hAnsi="Calibri" w:cs="Calibri"/>
                <w:b/>
                <w:bCs/>
                <w:color w:val="000000"/>
              </w:rPr>
              <w:t>FA3</w:t>
            </w:r>
          </w:p>
        </w:tc>
        <w:tc>
          <w:tcPr>
            <w:tcW w:w="1380"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730271A7" w14:textId="77777777" w:rsidR="00A05697" w:rsidRPr="000E6AC8" w:rsidRDefault="00A05697" w:rsidP="00ED2C84">
            <w:pPr>
              <w:spacing w:after="0" w:line="240" w:lineRule="auto"/>
              <w:rPr>
                <w:rFonts w:ascii="Calibri" w:eastAsia="Times New Roman" w:hAnsi="Calibri" w:cs="Calibri"/>
                <w:color w:val="000000"/>
              </w:rPr>
            </w:pPr>
            <w:r w:rsidRPr="000E6AC8">
              <w:rPr>
                <w:rFonts w:ascii="Calibri" w:eastAsia="Times New Roman" w:hAnsi="Calibri" w:cs="Calibri"/>
                <w:color w:val="000000"/>
              </w:rPr>
              <w:t>Outcome 3.1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EF91F"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5,684,805.00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7F202"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5,104,494.00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BDEBD"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580,311.00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CD259"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3,212,266.58</w:t>
            </w:r>
          </w:p>
        </w:tc>
      </w:tr>
      <w:tr w:rsidR="00A05697" w:rsidRPr="000E6AC8" w14:paraId="1CFE7AE1" w14:textId="77777777" w:rsidTr="00ED2C84">
        <w:trPr>
          <w:trHeight w:val="360"/>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3D53F7F7" w14:textId="77777777" w:rsidR="00A05697" w:rsidRPr="000E6AC8" w:rsidRDefault="00A05697" w:rsidP="00ED2C84">
            <w:pPr>
              <w:spacing w:after="0" w:line="240" w:lineRule="auto"/>
              <w:rPr>
                <w:rFonts w:ascii="Calibri" w:eastAsia="Times New Roman" w:hAnsi="Calibri" w:cs="Calibri"/>
                <w:b/>
                <w:bCs/>
                <w:color w:val="000000"/>
              </w:rPr>
            </w:pPr>
          </w:p>
        </w:tc>
        <w:tc>
          <w:tcPr>
            <w:tcW w:w="1380"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595C93FF" w14:textId="77777777" w:rsidR="00A05697" w:rsidRPr="000E6AC8" w:rsidRDefault="00A05697" w:rsidP="00ED2C84">
            <w:pPr>
              <w:spacing w:after="0" w:line="240" w:lineRule="auto"/>
              <w:rPr>
                <w:rFonts w:ascii="Calibri" w:eastAsia="Times New Roman" w:hAnsi="Calibri" w:cs="Calibri"/>
                <w:color w:val="000000"/>
              </w:rPr>
            </w:pPr>
            <w:r w:rsidRPr="000E6AC8">
              <w:rPr>
                <w:rFonts w:ascii="Calibri" w:eastAsia="Times New Roman" w:hAnsi="Calibri" w:cs="Calibri"/>
                <w:color w:val="000000"/>
              </w:rPr>
              <w:t>Outcome 3.2</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69299"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3,021,283.00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2E62D"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3,021,283.00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52A15"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C4A62"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2,845,972.00</w:t>
            </w:r>
          </w:p>
        </w:tc>
      </w:tr>
      <w:tr w:rsidR="00A05697" w:rsidRPr="000E6AC8" w14:paraId="761402D5" w14:textId="77777777" w:rsidTr="00ED2C84">
        <w:trPr>
          <w:trHeight w:val="360"/>
        </w:trPr>
        <w:tc>
          <w:tcPr>
            <w:tcW w:w="1180" w:type="dxa"/>
            <w:vMerge w:val="restar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69BCC514" w14:textId="77777777" w:rsidR="00A05697" w:rsidRPr="000E6AC8" w:rsidRDefault="00A05697" w:rsidP="00ED2C84">
            <w:pPr>
              <w:spacing w:after="0" w:line="240" w:lineRule="auto"/>
              <w:rPr>
                <w:rFonts w:ascii="Calibri" w:eastAsia="Times New Roman" w:hAnsi="Calibri" w:cs="Calibri"/>
                <w:b/>
                <w:bCs/>
                <w:color w:val="000000"/>
              </w:rPr>
            </w:pPr>
            <w:r w:rsidRPr="000E6AC8">
              <w:rPr>
                <w:rFonts w:ascii="Calibri" w:eastAsia="Times New Roman" w:hAnsi="Calibri" w:cs="Calibri"/>
                <w:b/>
                <w:bCs/>
                <w:color w:val="000000"/>
              </w:rPr>
              <w:t>FA4</w:t>
            </w:r>
          </w:p>
        </w:tc>
        <w:tc>
          <w:tcPr>
            <w:tcW w:w="1380"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09E18B14" w14:textId="77777777" w:rsidR="00A05697" w:rsidRPr="000E6AC8" w:rsidRDefault="00A05697" w:rsidP="00ED2C84">
            <w:pPr>
              <w:spacing w:after="0" w:line="240" w:lineRule="auto"/>
              <w:rPr>
                <w:rFonts w:ascii="Calibri" w:eastAsia="Times New Roman" w:hAnsi="Calibri" w:cs="Calibri"/>
                <w:color w:val="000000"/>
              </w:rPr>
            </w:pPr>
            <w:r w:rsidRPr="000E6AC8">
              <w:rPr>
                <w:rFonts w:ascii="Calibri" w:eastAsia="Times New Roman" w:hAnsi="Calibri" w:cs="Calibri"/>
                <w:color w:val="000000"/>
              </w:rPr>
              <w:t>Outcome 4.1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12694"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6,128,059.84</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1CAF7"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5,313,826.84</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43F59"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814,233.00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F61A"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3,897,375.84</w:t>
            </w:r>
          </w:p>
        </w:tc>
      </w:tr>
      <w:tr w:rsidR="00A05697" w:rsidRPr="000E6AC8" w14:paraId="6289C3D0" w14:textId="77777777" w:rsidTr="00ED2C84">
        <w:trPr>
          <w:trHeight w:val="360"/>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78BD98D7" w14:textId="77777777" w:rsidR="00A05697" w:rsidRPr="000E6AC8" w:rsidRDefault="00A05697" w:rsidP="00ED2C84">
            <w:pPr>
              <w:spacing w:after="0" w:line="240" w:lineRule="auto"/>
              <w:rPr>
                <w:rFonts w:ascii="Calibri" w:eastAsia="Times New Roman" w:hAnsi="Calibri" w:cs="Calibri"/>
                <w:b/>
                <w:bCs/>
                <w:color w:val="000000"/>
              </w:rPr>
            </w:pPr>
          </w:p>
        </w:tc>
        <w:tc>
          <w:tcPr>
            <w:tcW w:w="1380"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1C9D6CDD" w14:textId="77777777" w:rsidR="00A05697" w:rsidRPr="000E6AC8" w:rsidRDefault="00A05697" w:rsidP="00ED2C84">
            <w:pPr>
              <w:spacing w:after="0" w:line="240" w:lineRule="auto"/>
              <w:rPr>
                <w:rFonts w:ascii="Calibri" w:eastAsia="Times New Roman" w:hAnsi="Calibri" w:cs="Calibri"/>
                <w:color w:val="000000"/>
              </w:rPr>
            </w:pPr>
            <w:r w:rsidRPr="000E6AC8">
              <w:rPr>
                <w:rFonts w:ascii="Calibri" w:eastAsia="Times New Roman" w:hAnsi="Calibri" w:cs="Calibri"/>
                <w:color w:val="000000"/>
              </w:rPr>
              <w:t>Outcome 4.2</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61E65"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14,161,160.00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8E6CE"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13,276,912.00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B25B6"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884,248.00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2656C" w14:textId="77777777" w:rsidR="00A05697" w:rsidRPr="000E6AC8" w:rsidRDefault="00A05697" w:rsidP="00ED2C84">
            <w:pPr>
              <w:spacing w:after="0" w:line="240" w:lineRule="auto"/>
              <w:jc w:val="right"/>
              <w:rPr>
                <w:rFonts w:ascii="Calibri" w:eastAsia="Times New Roman" w:hAnsi="Calibri" w:cs="Calibri"/>
                <w:color w:val="000000"/>
              </w:rPr>
            </w:pPr>
            <w:r w:rsidRPr="000E6AC8">
              <w:rPr>
                <w:rFonts w:ascii="Calibri" w:eastAsia="Times New Roman" w:hAnsi="Calibri" w:cs="Calibri"/>
                <w:color w:val="000000"/>
              </w:rPr>
              <w:t>10,077,849.00</w:t>
            </w:r>
          </w:p>
        </w:tc>
      </w:tr>
      <w:tr w:rsidR="00A05697" w:rsidRPr="000E6AC8" w14:paraId="47FC34DE" w14:textId="77777777" w:rsidTr="00ED2C84">
        <w:trPr>
          <w:trHeight w:val="431"/>
        </w:trPr>
        <w:tc>
          <w:tcPr>
            <w:tcW w:w="256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A29F739" w14:textId="77777777" w:rsidR="00A05697" w:rsidRPr="000E6AC8" w:rsidRDefault="00A05697" w:rsidP="00ED2C84">
            <w:pPr>
              <w:spacing w:after="0" w:line="240" w:lineRule="auto"/>
              <w:jc w:val="center"/>
              <w:rPr>
                <w:rFonts w:ascii="Calibri" w:eastAsia="Times New Roman" w:hAnsi="Calibri" w:cs="Calibri"/>
                <w:b/>
                <w:bCs/>
                <w:color w:val="000000"/>
              </w:rPr>
            </w:pPr>
            <w:r w:rsidRPr="000E6AC8">
              <w:rPr>
                <w:rFonts w:ascii="Calibri" w:eastAsia="Times New Roman" w:hAnsi="Calibri" w:cs="Calibri"/>
                <w:b/>
                <w:bCs/>
                <w:color w:val="000000"/>
              </w:rPr>
              <w:t>TOTAL</w:t>
            </w:r>
          </w:p>
        </w:tc>
        <w:tc>
          <w:tcPr>
            <w:tcW w:w="17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6FE3ECB" w14:textId="77777777" w:rsidR="00A05697" w:rsidRPr="000E6AC8" w:rsidRDefault="00A05697" w:rsidP="00ED2C84">
            <w:pPr>
              <w:spacing w:after="0" w:line="240" w:lineRule="auto"/>
              <w:jc w:val="right"/>
              <w:rPr>
                <w:rFonts w:ascii="Calibri" w:eastAsia="Times New Roman" w:hAnsi="Calibri" w:cs="Calibri"/>
                <w:b/>
                <w:bCs/>
                <w:color w:val="000000"/>
              </w:rPr>
            </w:pPr>
            <w:r w:rsidRPr="000E6AC8">
              <w:rPr>
                <w:rFonts w:ascii="Calibri" w:eastAsia="Times New Roman" w:hAnsi="Calibri" w:cs="Calibri"/>
                <w:b/>
                <w:bCs/>
                <w:color w:val="000000"/>
              </w:rPr>
              <w:t xml:space="preserve">    91,898,457.60 </w:t>
            </w:r>
          </w:p>
        </w:tc>
        <w:tc>
          <w:tcPr>
            <w:tcW w:w="17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2BBB99A" w14:textId="77777777" w:rsidR="00A05697" w:rsidRPr="000E6AC8" w:rsidRDefault="00A05697" w:rsidP="00ED2C84">
            <w:pPr>
              <w:spacing w:after="0" w:line="240" w:lineRule="auto"/>
              <w:jc w:val="right"/>
              <w:rPr>
                <w:rFonts w:ascii="Calibri" w:eastAsia="Times New Roman" w:hAnsi="Calibri" w:cs="Calibri"/>
                <w:b/>
                <w:bCs/>
                <w:color w:val="000000"/>
              </w:rPr>
            </w:pPr>
            <w:r w:rsidRPr="000E6AC8">
              <w:rPr>
                <w:rFonts w:ascii="Calibri" w:eastAsia="Times New Roman" w:hAnsi="Calibri" w:cs="Calibri"/>
                <w:b/>
                <w:bCs/>
                <w:color w:val="000000"/>
              </w:rPr>
              <w:t xml:space="preserve">    77,386,525.71 </w:t>
            </w:r>
          </w:p>
        </w:tc>
        <w:tc>
          <w:tcPr>
            <w:tcW w:w="17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6CC2A33" w14:textId="77777777" w:rsidR="00A05697" w:rsidRPr="000E6AC8" w:rsidRDefault="00A05697" w:rsidP="00ED2C84">
            <w:pPr>
              <w:spacing w:after="0" w:line="240" w:lineRule="auto"/>
              <w:jc w:val="right"/>
              <w:rPr>
                <w:rFonts w:ascii="Calibri" w:eastAsia="Times New Roman" w:hAnsi="Calibri" w:cs="Calibri"/>
                <w:b/>
                <w:bCs/>
                <w:color w:val="000000"/>
              </w:rPr>
            </w:pPr>
            <w:r w:rsidRPr="000E6AC8">
              <w:rPr>
                <w:rFonts w:ascii="Calibri" w:eastAsia="Times New Roman" w:hAnsi="Calibri" w:cs="Calibri"/>
                <w:b/>
                <w:bCs/>
                <w:color w:val="000000"/>
              </w:rPr>
              <w:t xml:space="preserve">    14,511,931.89 </w:t>
            </w:r>
          </w:p>
        </w:tc>
        <w:tc>
          <w:tcPr>
            <w:tcW w:w="174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17BDDE3" w14:textId="77777777" w:rsidR="00A05697" w:rsidRPr="000E6AC8" w:rsidRDefault="00A05697" w:rsidP="00ED2C84">
            <w:pPr>
              <w:spacing w:after="0" w:line="240" w:lineRule="auto"/>
              <w:jc w:val="right"/>
              <w:rPr>
                <w:rFonts w:ascii="Calibri" w:eastAsia="Times New Roman" w:hAnsi="Calibri" w:cs="Calibri"/>
                <w:b/>
                <w:bCs/>
                <w:color w:val="000000"/>
              </w:rPr>
            </w:pPr>
            <w:r w:rsidRPr="000E6AC8">
              <w:rPr>
                <w:rFonts w:ascii="Calibri" w:eastAsia="Times New Roman" w:hAnsi="Calibri" w:cs="Calibri"/>
                <w:b/>
                <w:bCs/>
                <w:color w:val="000000"/>
              </w:rPr>
              <w:t xml:space="preserve">   62,760,464.41 </w:t>
            </w:r>
          </w:p>
        </w:tc>
      </w:tr>
    </w:tbl>
    <w:p w14:paraId="3184F59A" w14:textId="77777777" w:rsidR="00A05697" w:rsidRDefault="00A05697" w:rsidP="00A05697">
      <w:pPr>
        <w:spacing w:after="0" w:line="271" w:lineRule="auto"/>
        <w:jc w:val="both"/>
        <w:rPr>
          <w:rFonts w:cstheme="minorHAnsi"/>
          <w:sz w:val="24"/>
          <w:szCs w:val="24"/>
        </w:rPr>
      </w:pPr>
    </w:p>
    <w:p w14:paraId="54CEDD53" w14:textId="59602D4F" w:rsidR="00A05697" w:rsidRPr="00FE4CE6" w:rsidRDefault="00A05697" w:rsidP="00A05697">
      <w:pPr>
        <w:spacing w:after="0" w:line="271" w:lineRule="auto"/>
        <w:jc w:val="both"/>
        <w:rPr>
          <w:rFonts w:cstheme="minorHAnsi"/>
          <w:sz w:val="24"/>
          <w:szCs w:val="24"/>
          <w:lang w:val="en-GB"/>
        </w:rPr>
      </w:pPr>
      <w:r>
        <w:rPr>
          <w:rFonts w:cstheme="minorHAnsi"/>
          <w:sz w:val="24"/>
          <w:szCs w:val="24"/>
        </w:rPr>
        <w:t xml:space="preserve">As showed in </w:t>
      </w:r>
      <w:r w:rsidRPr="00215FA2">
        <w:rPr>
          <w:rFonts w:cstheme="minorHAnsi"/>
          <w:spacing w:val="-6"/>
          <w:sz w:val="24"/>
          <w:szCs w:val="24"/>
          <w:lang w:val="en-GB"/>
        </w:rPr>
        <w:t xml:space="preserve">below </w:t>
      </w:r>
      <w:r w:rsidRPr="003802C4">
        <w:rPr>
          <w:rFonts w:cstheme="minorHAnsi"/>
          <w:spacing w:val="-6"/>
          <w:sz w:val="24"/>
          <w:szCs w:val="24"/>
          <w:lang w:val="en-GB"/>
        </w:rPr>
        <w:t>Table</w:t>
      </w:r>
      <w:r w:rsidR="003802C4">
        <w:rPr>
          <w:rFonts w:cstheme="minorHAnsi"/>
          <w:spacing w:val="-6"/>
          <w:sz w:val="24"/>
          <w:szCs w:val="24"/>
          <w:lang w:val="en-GB"/>
        </w:rPr>
        <w:t xml:space="preserve"> 1</w:t>
      </w:r>
      <w:r>
        <w:rPr>
          <w:rFonts w:cstheme="minorHAnsi"/>
          <w:spacing w:val="-6"/>
          <w:sz w:val="24"/>
          <w:szCs w:val="24"/>
          <w:lang w:val="en-GB"/>
        </w:rPr>
        <w:t xml:space="preserve">, the </w:t>
      </w:r>
      <w:r w:rsidRPr="00215FA2">
        <w:rPr>
          <w:rFonts w:cstheme="minorHAnsi"/>
          <w:sz w:val="24"/>
          <w:szCs w:val="24"/>
          <w:lang w:val="en-GB"/>
        </w:rPr>
        <w:t>highest</w:t>
      </w:r>
      <w:r w:rsidRPr="00215FA2">
        <w:rPr>
          <w:rFonts w:cstheme="minorHAnsi"/>
          <w:spacing w:val="13"/>
          <w:sz w:val="24"/>
          <w:szCs w:val="24"/>
          <w:lang w:val="en-GB"/>
        </w:rPr>
        <w:t xml:space="preserve"> </w:t>
      </w:r>
      <w:r w:rsidRPr="00215FA2">
        <w:rPr>
          <w:rFonts w:cstheme="minorHAnsi"/>
          <w:spacing w:val="-1"/>
          <w:sz w:val="24"/>
          <w:szCs w:val="24"/>
          <w:lang w:val="en-GB"/>
        </w:rPr>
        <w:t>proportion</w:t>
      </w:r>
      <w:r w:rsidRPr="00215FA2">
        <w:rPr>
          <w:rFonts w:cstheme="minorHAnsi"/>
          <w:spacing w:val="13"/>
          <w:sz w:val="24"/>
          <w:szCs w:val="24"/>
          <w:lang w:val="en-GB"/>
        </w:rPr>
        <w:t xml:space="preserve"> </w:t>
      </w:r>
      <w:r w:rsidRPr="00215FA2">
        <w:rPr>
          <w:rFonts w:cstheme="minorHAnsi"/>
          <w:sz w:val="24"/>
          <w:szCs w:val="24"/>
          <w:lang w:val="en-GB"/>
        </w:rPr>
        <w:t>of</w:t>
      </w:r>
      <w:r w:rsidRPr="00215FA2">
        <w:rPr>
          <w:rFonts w:cstheme="minorHAnsi"/>
          <w:spacing w:val="13"/>
          <w:sz w:val="24"/>
          <w:szCs w:val="24"/>
          <w:lang w:val="en-GB"/>
        </w:rPr>
        <w:t xml:space="preserve"> </w:t>
      </w:r>
      <w:r w:rsidRPr="00215FA2">
        <w:rPr>
          <w:rFonts w:cstheme="minorHAnsi"/>
          <w:sz w:val="24"/>
          <w:szCs w:val="24"/>
          <w:lang w:val="en-GB"/>
        </w:rPr>
        <w:t>UN</w:t>
      </w:r>
      <w:r w:rsidRPr="00215FA2">
        <w:rPr>
          <w:rFonts w:cstheme="minorHAnsi"/>
          <w:spacing w:val="13"/>
          <w:sz w:val="24"/>
          <w:szCs w:val="24"/>
          <w:lang w:val="en-GB"/>
        </w:rPr>
        <w:t xml:space="preserve"> </w:t>
      </w:r>
      <w:r w:rsidRPr="00215FA2">
        <w:rPr>
          <w:rFonts w:cstheme="minorHAnsi"/>
          <w:sz w:val="24"/>
          <w:szCs w:val="24"/>
          <w:lang w:val="en-GB"/>
        </w:rPr>
        <w:t>investment</w:t>
      </w:r>
      <w:r w:rsidRPr="00215FA2">
        <w:rPr>
          <w:rFonts w:cstheme="minorHAnsi"/>
          <w:spacing w:val="13"/>
          <w:sz w:val="24"/>
          <w:szCs w:val="24"/>
          <w:lang w:val="en-GB"/>
        </w:rPr>
        <w:t xml:space="preserve"> </w:t>
      </w:r>
      <w:r w:rsidRPr="00215FA2">
        <w:rPr>
          <w:rFonts w:cstheme="minorHAnsi"/>
          <w:sz w:val="24"/>
          <w:szCs w:val="24"/>
          <w:lang w:val="en-GB"/>
        </w:rPr>
        <w:t>in</w:t>
      </w:r>
      <w:r w:rsidRPr="00215FA2">
        <w:rPr>
          <w:rFonts w:cstheme="minorHAnsi"/>
          <w:spacing w:val="14"/>
          <w:sz w:val="24"/>
          <w:szCs w:val="24"/>
          <w:lang w:val="en-GB"/>
        </w:rPr>
        <w:t xml:space="preserve"> </w:t>
      </w:r>
      <w:r w:rsidRPr="00215FA2">
        <w:rPr>
          <w:rFonts w:cstheme="minorHAnsi"/>
          <w:sz w:val="24"/>
          <w:szCs w:val="24"/>
          <w:lang w:val="en-GB"/>
        </w:rPr>
        <w:t>201</w:t>
      </w:r>
      <w:r>
        <w:rPr>
          <w:rFonts w:cstheme="minorHAnsi"/>
          <w:sz w:val="24"/>
          <w:szCs w:val="24"/>
          <w:lang w:val="en-GB"/>
        </w:rPr>
        <w:t>8</w:t>
      </w:r>
      <w:r w:rsidRPr="00215FA2">
        <w:rPr>
          <w:rFonts w:cstheme="minorHAnsi"/>
          <w:spacing w:val="13"/>
          <w:sz w:val="24"/>
          <w:szCs w:val="24"/>
          <w:lang w:val="en-GB"/>
        </w:rPr>
        <w:t xml:space="preserve"> </w:t>
      </w:r>
      <w:r w:rsidRPr="00215FA2">
        <w:rPr>
          <w:rFonts w:cstheme="minorHAnsi"/>
          <w:sz w:val="24"/>
          <w:szCs w:val="24"/>
          <w:lang w:val="en-GB"/>
        </w:rPr>
        <w:t>went</w:t>
      </w:r>
      <w:r w:rsidRPr="00215FA2">
        <w:rPr>
          <w:rFonts w:cstheme="minorHAnsi"/>
          <w:spacing w:val="13"/>
          <w:sz w:val="24"/>
          <w:szCs w:val="24"/>
          <w:lang w:val="en-GB"/>
        </w:rPr>
        <w:t xml:space="preserve"> </w:t>
      </w:r>
      <w:r w:rsidRPr="00215FA2">
        <w:rPr>
          <w:rFonts w:cstheme="minorHAnsi"/>
          <w:sz w:val="24"/>
          <w:szCs w:val="24"/>
          <w:lang w:val="en-GB"/>
        </w:rPr>
        <w:t>to</w:t>
      </w:r>
      <w:r w:rsidRPr="00215FA2">
        <w:rPr>
          <w:rFonts w:cstheme="minorHAnsi"/>
          <w:spacing w:val="26"/>
          <w:w w:val="110"/>
          <w:sz w:val="24"/>
          <w:szCs w:val="24"/>
          <w:lang w:val="en-GB"/>
        </w:rPr>
        <w:t xml:space="preserve"> </w:t>
      </w:r>
      <w:r w:rsidRPr="00215FA2">
        <w:rPr>
          <w:rFonts w:cstheme="minorHAnsi"/>
          <w:sz w:val="24"/>
          <w:szCs w:val="24"/>
          <w:lang w:val="en-GB"/>
        </w:rPr>
        <w:t xml:space="preserve">Outcome </w:t>
      </w:r>
      <w:r>
        <w:rPr>
          <w:rFonts w:cstheme="minorHAnsi"/>
          <w:sz w:val="24"/>
          <w:szCs w:val="24"/>
          <w:lang w:val="en-GB"/>
        </w:rPr>
        <w:t xml:space="preserve">2.1 on low-carbon, climate and disaster resilient development (35.3 per cent), Outcome 4.2 on  human rights protection and justice (17.2 per cent), and </w:t>
      </w:r>
      <w:r w:rsidRPr="00215FA2">
        <w:rPr>
          <w:rFonts w:cstheme="minorHAnsi"/>
          <w:sz w:val="24"/>
          <w:szCs w:val="24"/>
          <w:lang w:val="en-GB"/>
        </w:rPr>
        <w:t>Outcome</w:t>
      </w:r>
      <w:r w:rsidRPr="00215FA2">
        <w:rPr>
          <w:rFonts w:cstheme="minorHAnsi"/>
          <w:spacing w:val="8"/>
          <w:sz w:val="24"/>
          <w:szCs w:val="24"/>
          <w:lang w:val="en-GB"/>
        </w:rPr>
        <w:t xml:space="preserve"> </w:t>
      </w:r>
      <w:r>
        <w:rPr>
          <w:rFonts w:cstheme="minorHAnsi"/>
          <w:spacing w:val="8"/>
          <w:sz w:val="24"/>
          <w:szCs w:val="24"/>
          <w:lang w:val="en-GB"/>
        </w:rPr>
        <w:t>1.2</w:t>
      </w:r>
      <w:r w:rsidRPr="00215FA2">
        <w:rPr>
          <w:rFonts w:cstheme="minorHAnsi"/>
          <w:spacing w:val="8"/>
          <w:sz w:val="24"/>
          <w:szCs w:val="24"/>
          <w:lang w:val="en-GB"/>
        </w:rPr>
        <w:t xml:space="preserve"> </w:t>
      </w:r>
      <w:r w:rsidRPr="00215FA2">
        <w:rPr>
          <w:rFonts w:cstheme="minorHAnsi"/>
          <w:sz w:val="24"/>
          <w:szCs w:val="24"/>
          <w:lang w:val="en-GB"/>
        </w:rPr>
        <w:t>on</w:t>
      </w:r>
      <w:r>
        <w:rPr>
          <w:rFonts w:cstheme="minorHAnsi"/>
          <w:sz w:val="24"/>
          <w:szCs w:val="24"/>
          <w:lang w:val="en-GB"/>
        </w:rPr>
        <w:t xml:space="preserve"> equity in health (16.3 per cent). The three-year trend since 2017 shows that the UN consistently put a high level of investment into equity in health and constantly increased its budget for human rights protection and justice. Nevertheless, the work on poverty reduction, social protection, education, economic growth, and an inclusive labour market got a decreasing and small budget due to difficulties in </w:t>
      </w:r>
      <w:r>
        <w:rPr>
          <w:rFonts w:cstheme="minorHAnsi"/>
          <w:sz w:val="24"/>
          <w:szCs w:val="24"/>
          <w:lang w:val="en-GB"/>
        </w:rPr>
        <w:lastRenderedPageBreak/>
        <w:t>resource mobilization. For other areas, the budget fluctuated greatly over the last three years (see Chart</w:t>
      </w:r>
      <w:r w:rsidR="003802C4">
        <w:rPr>
          <w:rFonts w:cstheme="minorHAnsi"/>
          <w:sz w:val="24"/>
          <w:szCs w:val="24"/>
          <w:lang w:val="en-GB"/>
        </w:rPr>
        <w:t xml:space="preserve"> 1)</w:t>
      </w:r>
      <w:r>
        <w:rPr>
          <w:rFonts w:cstheme="minorHAnsi"/>
          <w:sz w:val="24"/>
          <w:szCs w:val="24"/>
          <w:lang w:val="en-GB"/>
        </w:rPr>
        <w:t xml:space="preserve">.  </w:t>
      </w:r>
    </w:p>
    <w:p w14:paraId="1F0DA4D4" w14:textId="77777777" w:rsidR="00A05697" w:rsidRDefault="00A05697" w:rsidP="00A05697">
      <w:pPr>
        <w:spacing w:after="0" w:line="271" w:lineRule="auto"/>
        <w:jc w:val="both"/>
        <w:rPr>
          <w:rFonts w:cstheme="minorHAnsi"/>
          <w:spacing w:val="15"/>
          <w:sz w:val="24"/>
          <w:szCs w:val="24"/>
          <w:lang w:val="en-GB"/>
        </w:rPr>
      </w:pPr>
    </w:p>
    <w:p w14:paraId="69790D2A" w14:textId="77777777" w:rsidR="00A05697" w:rsidRDefault="00A05697" w:rsidP="00A05697">
      <w:pPr>
        <w:spacing w:after="0" w:line="271" w:lineRule="auto"/>
        <w:jc w:val="center"/>
        <w:rPr>
          <w:rFonts w:cstheme="minorHAnsi"/>
          <w:spacing w:val="15"/>
          <w:sz w:val="24"/>
          <w:szCs w:val="24"/>
          <w:lang w:val="en-GB"/>
        </w:rPr>
      </w:pPr>
      <w:r>
        <w:rPr>
          <w:noProof/>
        </w:rPr>
        <w:drawing>
          <wp:inline distT="0" distB="0" distL="0" distR="0" wp14:anchorId="6C462A32" wp14:editId="266F5EC4">
            <wp:extent cx="5752353" cy="3742758"/>
            <wp:effectExtent l="0" t="0" r="1270" b="10160"/>
            <wp:docPr id="1" name="Chart 1">
              <a:extLst xmlns:a="http://schemas.openxmlformats.org/drawingml/2006/main">
                <a:ext uri="{FF2B5EF4-FFF2-40B4-BE49-F238E27FC236}">
                  <a16:creationId xmlns:a16="http://schemas.microsoft.com/office/drawing/2014/main" id="{5EC47D3E-63E3-4189-BFD0-2E62B2E556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3FAEE48" w14:textId="77777777" w:rsidR="00A05697" w:rsidRDefault="00A05697" w:rsidP="00A05697">
      <w:pPr>
        <w:spacing w:after="0" w:line="271" w:lineRule="auto"/>
        <w:jc w:val="both"/>
        <w:rPr>
          <w:rFonts w:cstheme="minorHAnsi"/>
          <w:spacing w:val="15"/>
          <w:sz w:val="24"/>
          <w:szCs w:val="24"/>
          <w:lang w:val="en-GB"/>
        </w:rPr>
      </w:pPr>
    </w:p>
    <w:p w14:paraId="2C941AD2" w14:textId="77777777" w:rsidR="00A05697" w:rsidRDefault="00A05697" w:rsidP="00A05697">
      <w:pPr>
        <w:spacing w:after="0" w:line="271" w:lineRule="auto"/>
        <w:jc w:val="both"/>
        <w:rPr>
          <w:rFonts w:cstheme="minorHAnsi"/>
          <w:spacing w:val="2"/>
          <w:sz w:val="24"/>
          <w:szCs w:val="24"/>
          <w:lang w:val="en-GB"/>
        </w:rPr>
      </w:pPr>
      <w:r>
        <w:rPr>
          <w:rFonts w:cstheme="minorHAnsi"/>
          <w:spacing w:val="15"/>
          <w:sz w:val="24"/>
          <w:szCs w:val="24"/>
          <w:lang w:val="en-GB"/>
        </w:rPr>
        <w:t xml:space="preserve">Regarding </w:t>
      </w:r>
      <w:r w:rsidRPr="00215FA2">
        <w:rPr>
          <w:rFonts w:cstheme="minorHAnsi"/>
          <w:spacing w:val="-1"/>
          <w:sz w:val="24"/>
          <w:szCs w:val="24"/>
          <w:lang w:val="en-GB"/>
        </w:rPr>
        <w:t>expenditure</w:t>
      </w:r>
      <w:r>
        <w:rPr>
          <w:rFonts w:cstheme="minorHAnsi"/>
          <w:spacing w:val="-1"/>
          <w:sz w:val="24"/>
          <w:szCs w:val="24"/>
          <w:lang w:val="en-GB"/>
        </w:rPr>
        <w:t>, b</w:t>
      </w:r>
      <w:r w:rsidRPr="00215FA2">
        <w:rPr>
          <w:rFonts w:cstheme="minorHAnsi"/>
          <w:sz w:val="24"/>
          <w:szCs w:val="24"/>
          <w:lang w:val="en-GB"/>
        </w:rPr>
        <w:t>y</w:t>
      </w:r>
      <w:r w:rsidRPr="00215FA2">
        <w:rPr>
          <w:rFonts w:cstheme="minorHAnsi"/>
          <w:spacing w:val="2"/>
          <w:sz w:val="24"/>
          <w:szCs w:val="24"/>
          <w:lang w:val="en-GB"/>
        </w:rPr>
        <w:t xml:space="preserve"> </w:t>
      </w:r>
      <w:r w:rsidRPr="00215FA2">
        <w:rPr>
          <w:rFonts w:cstheme="minorHAnsi"/>
          <w:sz w:val="24"/>
          <w:szCs w:val="24"/>
          <w:lang w:val="en-GB"/>
        </w:rPr>
        <w:t>the</w:t>
      </w:r>
      <w:r w:rsidRPr="00215FA2">
        <w:rPr>
          <w:rFonts w:cstheme="minorHAnsi"/>
          <w:spacing w:val="29"/>
          <w:w w:val="103"/>
          <w:sz w:val="24"/>
          <w:szCs w:val="24"/>
          <w:lang w:val="en-GB"/>
        </w:rPr>
        <w:t xml:space="preserve"> </w:t>
      </w:r>
      <w:r w:rsidRPr="00215FA2">
        <w:rPr>
          <w:rFonts w:cstheme="minorHAnsi"/>
          <w:sz w:val="24"/>
          <w:szCs w:val="24"/>
          <w:lang w:val="en-GB"/>
        </w:rPr>
        <w:t>end</w:t>
      </w:r>
      <w:r w:rsidRPr="00215FA2">
        <w:rPr>
          <w:rFonts w:cstheme="minorHAnsi"/>
          <w:spacing w:val="2"/>
          <w:sz w:val="24"/>
          <w:szCs w:val="24"/>
          <w:lang w:val="en-GB"/>
        </w:rPr>
        <w:t xml:space="preserve"> </w:t>
      </w:r>
      <w:r w:rsidRPr="00215FA2">
        <w:rPr>
          <w:rFonts w:cstheme="minorHAnsi"/>
          <w:sz w:val="24"/>
          <w:szCs w:val="24"/>
          <w:lang w:val="en-GB"/>
        </w:rPr>
        <w:t>of</w:t>
      </w:r>
      <w:r w:rsidRPr="00215FA2">
        <w:rPr>
          <w:rFonts w:cstheme="minorHAnsi"/>
          <w:spacing w:val="3"/>
          <w:sz w:val="24"/>
          <w:szCs w:val="24"/>
          <w:lang w:val="en-GB"/>
        </w:rPr>
        <w:t xml:space="preserve"> </w:t>
      </w:r>
      <w:r w:rsidRPr="00215FA2">
        <w:rPr>
          <w:rFonts w:cstheme="minorHAnsi"/>
          <w:sz w:val="24"/>
          <w:szCs w:val="24"/>
          <w:lang w:val="en-GB"/>
        </w:rPr>
        <w:t>201</w:t>
      </w:r>
      <w:r>
        <w:rPr>
          <w:rFonts w:cstheme="minorHAnsi"/>
          <w:sz w:val="24"/>
          <w:szCs w:val="24"/>
          <w:lang w:val="en-GB"/>
        </w:rPr>
        <w:t>8</w:t>
      </w:r>
      <w:r w:rsidRPr="00215FA2">
        <w:rPr>
          <w:rFonts w:cstheme="minorHAnsi"/>
          <w:sz w:val="24"/>
          <w:szCs w:val="24"/>
          <w:lang w:val="en-GB"/>
        </w:rPr>
        <w:t>,</w:t>
      </w:r>
      <w:r w:rsidRPr="00215FA2">
        <w:rPr>
          <w:rFonts w:cstheme="minorHAnsi"/>
          <w:spacing w:val="3"/>
          <w:sz w:val="24"/>
          <w:szCs w:val="24"/>
          <w:lang w:val="en-GB"/>
        </w:rPr>
        <w:t xml:space="preserve"> </w:t>
      </w:r>
      <w:r w:rsidRPr="00215FA2">
        <w:rPr>
          <w:rFonts w:cstheme="minorHAnsi"/>
          <w:sz w:val="24"/>
          <w:szCs w:val="24"/>
          <w:lang w:val="en-GB"/>
        </w:rPr>
        <w:t>UN</w:t>
      </w:r>
      <w:r w:rsidRPr="00215FA2">
        <w:rPr>
          <w:rFonts w:cstheme="minorHAnsi"/>
          <w:spacing w:val="2"/>
          <w:sz w:val="24"/>
          <w:szCs w:val="24"/>
          <w:lang w:val="en-GB"/>
        </w:rPr>
        <w:t xml:space="preserve"> </w:t>
      </w:r>
      <w:r w:rsidRPr="00215FA2">
        <w:rPr>
          <w:rFonts w:cstheme="minorHAnsi"/>
          <w:sz w:val="24"/>
          <w:szCs w:val="24"/>
          <w:lang w:val="en-GB"/>
        </w:rPr>
        <w:t>agencies</w:t>
      </w:r>
      <w:r w:rsidRPr="00215FA2">
        <w:rPr>
          <w:rFonts w:cstheme="minorHAnsi"/>
          <w:spacing w:val="3"/>
          <w:sz w:val="24"/>
          <w:szCs w:val="24"/>
          <w:lang w:val="en-GB"/>
        </w:rPr>
        <w:t xml:space="preserve"> </w:t>
      </w:r>
      <w:r w:rsidRPr="00215FA2">
        <w:rPr>
          <w:rFonts w:cstheme="minorHAnsi"/>
          <w:spacing w:val="-1"/>
          <w:sz w:val="24"/>
          <w:szCs w:val="24"/>
          <w:lang w:val="en-GB"/>
        </w:rPr>
        <w:t>delivered</w:t>
      </w:r>
      <w:r w:rsidRPr="00215FA2">
        <w:rPr>
          <w:rFonts w:cstheme="minorHAnsi"/>
          <w:spacing w:val="3"/>
          <w:sz w:val="24"/>
          <w:szCs w:val="24"/>
          <w:lang w:val="en-GB"/>
        </w:rPr>
        <w:t xml:space="preserve"> </w:t>
      </w:r>
      <w:r>
        <w:rPr>
          <w:rFonts w:cstheme="minorHAnsi"/>
          <w:spacing w:val="3"/>
          <w:sz w:val="24"/>
          <w:szCs w:val="24"/>
          <w:lang w:val="en-GB"/>
        </w:rPr>
        <w:t>USD</w:t>
      </w:r>
      <w:r w:rsidRPr="00215FA2">
        <w:rPr>
          <w:rFonts w:cstheme="minorHAnsi"/>
          <w:sz w:val="24"/>
          <w:szCs w:val="24"/>
          <w:lang w:val="vi-VN"/>
        </w:rPr>
        <w:t>6</w:t>
      </w:r>
      <w:r>
        <w:rPr>
          <w:rFonts w:cstheme="minorHAnsi"/>
          <w:sz w:val="24"/>
          <w:szCs w:val="24"/>
        </w:rPr>
        <w:t>2</w:t>
      </w:r>
      <w:r w:rsidRPr="00215FA2">
        <w:rPr>
          <w:rFonts w:cstheme="minorHAnsi"/>
          <w:sz w:val="24"/>
          <w:szCs w:val="24"/>
          <w:lang w:val="en-GB"/>
        </w:rPr>
        <w:t>.</w:t>
      </w:r>
      <w:r>
        <w:rPr>
          <w:rFonts w:cstheme="minorHAnsi"/>
          <w:sz w:val="24"/>
          <w:szCs w:val="24"/>
          <w:lang w:val="en-GB"/>
        </w:rPr>
        <w:t>8</w:t>
      </w:r>
      <w:r w:rsidRPr="00215FA2">
        <w:rPr>
          <w:rFonts w:cstheme="minorHAnsi"/>
          <w:spacing w:val="2"/>
          <w:sz w:val="24"/>
          <w:szCs w:val="24"/>
          <w:lang w:val="en-GB"/>
        </w:rPr>
        <w:t xml:space="preserve"> </w:t>
      </w:r>
      <w:r w:rsidRPr="00215FA2">
        <w:rPr>
          <w:rFonts w:cstheme="minorHAnsi"/>
          <w:sz w:val="24"/>
          <w:szCs w:val="24"/>
          <w:lang w:val="en-GB"/>
        </w:rPr>
        <w:t>million,</w:t>
      </w:r>
      <w:r w:rsidRPr="00215FA2">
        <w:rPr>
          <w:rFonts w:cstheme="minorHAnsi"/>
          <w:spacing w:val="25"/>
          <w:w w:val="94"/>
          <w:sz w:val="24"/>
          <w:szCs w:val="24"/>
          <w:lang w:val="en-GB"/>
        </w:rPr>
        <w:t xml:space="preserve"> </w:t>
      </w:r>
      <w:r w:rsidRPr="00215FA2">
        <w:rPr>
          <w:rFonts w:cstheme="minorHAnsi"/>
          <w:spacing w:val="-1"/>
          <w:sz w:val="24"/>
          <w:szCs w:val="24"/>
          <w:lang w:val="en-GB"/>
        </w:rPr>
        <w:t>resulting</w:t>
      </w:r>
      <w:r w:rsidRPr="00215FA2">
        <w:rPr>
          <w:rFonts w:cstheme="minorHAnsi"/>
          <w:spacing w:val="3"/>
          <w:sz w:val="24"/>
          <w:szCs w:val="24"/>
          <w:lang w:val="en-GB"/>
        </w:rPr>
        <w:t xml:space="preserve"> </w:t>
      </w:r>
      <w:r w:rsidRPr="00215FA2">
        <w:rPr>
          <w:rFonts w:cstheme="minorHAnsi"/>
          <w:sz w:val="24"/>
          <w:szCs w:val="24"/>
          <w:lang w:val="en-GB"/>
        </w:rPr>
        <w:t>in</w:t>
      </w:r>
      <w:r w:rsidRPr="00215FA2">
        <w:rPr>
          <w:rFonts w:cstheme="minorHAnsi"/>
          <w:spacing w:val="4"/>
          <w:sz w:val="24"/>
          <w:szCs w:val="24"/>
          <w:lang w:val="en-GB"/>
        </w:rPr>
        <w:t xml:space="preserve"> </w:t>
      </w:r>
      <w:r w:rsidRPr="00215FA2">
        <w:rPr>
          <w:rFonts w:cstheme="minorHAnsi"/>
          <w:sz w:val="24"/>
          <w:szCs w:val="24"/>
          <w:lang w:val="en-GB"/>
        </w:rPr>
        <w:t>a</w:t>
      </w:r>
      <w:r w:rsidRPr="00215FA2">
        <w:rPr>
          <w:rFonts w:cstheme="minorHAnsi"/>
          <w:spacing w:val="3"/>
          <w:sz w:val="24"/>
          <w:szCs w:val="24"/>
          <w:lang w:val="en-GB"/>
        </w:rPr>
        <w:t xml:space="preserve"> </w:t>
      </w:r>
      <w:r w:rsidRPr="00215FA2">
        <w:rPr>
          <w:rFonts w:cstheme="minorHAnsi"/>
          <w:sz w:val="24"/>
          <w:szCs w:val="24"/>
          <w:lang w:val="en-GB"/>
        </w:rPr>
        <w:t>disbursement</w:t>
      </w:r>
      <w:r w:rsidRPr="00215FA2">
        <w:rPr>
          <w:rFonts w:cstheme="minorHAnsi"/>
          <w:spacing w:val="4"/>
          <w:sz w:val="24"/>
          <w:szCs w:val="24"/>
          <w:lang w:val="en-GB"/>
        </w:rPr>
        <w:t xml:space="preserve"> </w:t>
      </w:r>
      <w:r w:rsidRPr="00215FA2">
        <w:rPr>
          <w:rFonts w:cstheme="minorHAnsi"/>
          <w:sz w:val="24"/>
          <w:szCs w:val="24"/>
          <w:lang w:val="en-GB"/>
        </w:rPr>
        <w:t>of</w:t>
      </w:r>
      <w:r w:rsidRPr="00215FA2">
        <w:rPr>
          <w:rFonts w:cstheme="minorHAnsi"/>
          <w:spacing w:val="4"/>
          <w:sz w:val="24"/>
          <w:szCs w:val="24"/>
          <w:lang w:val="en-GB"/>
        </w:rPr>
        <w:t xml:space="preserve"> </w:t>
      </w:r>
      <w:r>
        <w:rPr>
          <w:rFonts w:cstheme="minorHAnsi"/>
          <w:spacing w:val="4"/>
          <w:sz w:val="24"/>
          <w:szCs w:val="24"/>
          <w:lang w:val="en-GB"/>
        </w:rPr>
        <w:t>81</w:t>
      </w:r>
      <w:r w:rsidRPr="00215FA2">
        <w:rPr>
          <w:rFonts w:cstheme="minorHAnsi"/>
          <w:spacing w:val="3"/>
          <w:sz w:val="24"/>
          <w:szCs w:val="24"/>
          <w:lang w:val="vi-VN"/>
        </w:rPr>
        <w:t>.</w:t>
      </w:r>
      <w:r>
        <w:rPr>
          <w:rFonts w:cstheme="minorHAnsi"/>
          <w:spacing w:val="3"/>
          <w:sz w:val="24"/>
          <w:szCs w:val="24"/>
        </w:rPr>
        <w:t>1</w:t>
      </w:r>
      <w:r w:rsidRPr="00215FA2">
        <w:rPr>
          <w:rFonts w:cstheme="minorHAnsi"/>
          <w:spacing w:val="3"/>
          <w:sz w:val="24"/>
          <w:szCs w:val="24"/>
          <w:lang w:val="en-GB"/>
        </w:rPr>
        <w:t xml:space="preserve"> </w:t>
      </w:r>
      <w:r w:rsidRPr="00215FA2">
        <w:rPr>
          <w:rFonts w:cstheme="minorHAnsi"/>
          <w:sz w:val="24"/>
          <w:szCs w:val="24"/>
          <w:lang w:val="en-GB"/>
        </w:rPr>
        <w:t>per</w:t>
      </w:r>
      <w:r w:rsidRPr="00215FA2">
        <w:rPr>
          <w:rFonts w:cstheme="minorHAnsi"/>
          <w:spacing w:val="4"/>
          <w:sz w:val="24"/>
          <w:szCs w:val="24"/>
          <w:lang w:val="en-GB"/>
        </w:rPr>
        <w:t xml:space="preserve"> </w:t>
      </w:r>
      <w:r w:rsidRPr="00215FA2">
        <w:rPr>
          <w:rFonts w:cstheme="minorHAnsi"/>
          <w:sz w:val="24"/>
          <w:szCs w:val="24"/>
          <w:lang w:val="en-GB"/>
        </w:rPr>
        <w:t>cent</w:t>
      </w:r>
      <w:r w:rsidRPr="00215FA2">
        <w:rPr>
          <w:rFonts w:cstheme="minorHAnsi"/>
          <w:spacing w:val="4"/>
          <w:sz w:val="24"/>
          <w:szCs w:val="24"/>
          <w:lang w:val="en-GB"/>
        </w:rPr>
        <w:t xml:space="preserve"> </w:t>
      </w:r>
      <w:r w:rsidRPr="00215FA2">
        <w:rPr>
          <w:rFonts w:cstheme="minorHAnsi"/>
          <w:sz w:val="24"/>
          <w:szCs w:val="24"/>
          <w:lang w:val="en-GB"/>
        </w:rPr>
        <w:t>against</w:t>
      </w:r>
      <w:r w:rsidRPr="00215FA2">
        <w:rPr>
          <w:rFonts w:cstheme="minorHAnsi"/>
          <w:spacing w:val="3"/>
          <w:sz w:val="24"/>
          <w:szCs w:val="24"/>
          <w:lang w:val="en-GB"/>
        </w:rPr>
        <w:t xml:space="preserve"> </w:t>
      </w:r>
      <w:r w:rsidRPr="00215FA2">
        <w:rPr>
          <w:rFonts w:cstheme="minorHAnsi"/>
          <w:sz w:val="24"/>
          <w:szCs w:val="24"/>
          <w:lang w:val="en-GB"/>
        </w:rPr>
        <w:t>the</w:t>
      </w:r>
      <w:r w:rsidRPr="00215FA2">
        <w:rPr>
          <w:rFonts w:cstheme="minorHAnsi"/>
          <w:spacing w:val="25"/>
          <w:w w:val="103"/>
          <w:sz w:val="24"/>
          <w:szCs w:val="24"/>
          <w:lang w:val="en-GB"/>
        </w:rPr>
        <w:t xml:space="preserve"> </w:t>
      </w:r>
      <w:r w:rsidRPr="00215FA2">
        <w:rPr>
          <w:rFonts w:cstheme="minorHAnsi"/>
          <w:sz w:val="24"/>
          <w:szCs w:val="24"/>
          <w:lang w:val="en-GB"/>
        </w:rPr>
        <w:t>total</w:t>
      </w:r>
      <w:r w:rsidRPr="00215FA2">
        <w:rPr>
          <w:rFonts w:cstheme="minorHAnsi"/>
          <w:spacing w:val="8"/>
          <w:sz w:val="24"/>
          <w:szCs w:val="24"/>
          <w:lang w:val="en-GB"/>
        </w:rPr>
        <w:t xml:space="preserve"> </w:t>
      </w:r>
      <w:r w:rsidRPr="00215FA2">
        <w:rPr>
          <w:rFonts w:cstheme="minorHAnsi"/>
          <w:sz w:val="24"/>
          <w:szCs w:val="24"/>
          <w:lang w:val="en-GB"/>
        </w:rPr>
        <w:t>available</w:t>
      </w:r>
      <w:r w:rsidRPr="00215FA2">
        <w:rPr>
          <w:rFonts w:cstheme="minorHAnsi"/>
          <w:spacing w:val="9"/>
          <w:sz w:val="24"/>
          <w:szCs w:val="24"/>
          <w:lang w:val="en-GB"/>
        </w:rPr>
        <w:t xml:space="preserve"> </w:t>
      </w:r>
      <w:r w:rsidRPr="00215FA2">
        <w:rPr>
          <w:rFonts w:cstheme="minorHAnsi"/>
          <w:sz w:val="24"/>
          <w:szCs w:val="24"/>
          <w:lang w:val="en-GB"/>
        </w:rPr>
        <w:t>budget</w:t>
      </w:r>
      <w:r w:rsidRPr="00215FA2">
        <w:rPr>
          <w:rFonts w:cstheme="minorHAnsi"/>
          <w:spacing w:val="9"/>
          <w:sz w:val="24"/>
          <w:szCs w:val="24"/>
          <w:lang w:val="en-GB"/>
        </w:rPr>
        <w:t xml:space="preserve"> </w:t>
      </w:r>
      <w:r w:rsidRPr="00215FA2">
        <w:rPr>
          <w:rFonts w:cstheme="minorHAnsi"/>
          <w:sz w:val="24"/>
          <w:szCs w:val="24"/>
          <w:lang w:val="en-GB"/>
        </w:rPr>
        <w:t>of</w:t>
      </w:r>
      <w:r w:rsidRPr="00215FA2">
        <w:rPr>
          <w:rFonts w:cstheme="minorHAnsi"/>
          <w:spacing w:val="8"/>
          <w:sz w:val="24"/>
          <w:szCs w:val="24"/>
          <w:lang w:val="en-GB"/>
        </w:rPr>
        <w:t xml:space="preserve"> </w:t>
      </w:r>
      <w:r w:rsidRPr="00215FA2">
        <w:rPr>
          <w:rFonts w:cstheme="minorHAnsi"/>
          <w:sz w:val="24"/>
          <w:szCs w:val="24"/>
          <w:lang w:val="en-GB"/>
        </w:rPr>
        <w:t>USD</w:t>
      </w:r>
      <w:r>
        <w:rPr>
          <w:rFonts w:cstheme="minorHAnsi"/>
          <w:spacing w:val="9"/>
          <w:sz w:val="24"/>
          <w:szCs w:val="24"/>
          <w:lang w:val="en-GB"/>
        </w:rPr>
        <w:t>77.4</w:t>
      </w:r>
      <w:r w:rsidRPr="00215FA2">
        <w:rPr>
          <w:rFonts w:cstheme="minorHAnsi"/>
          <w:spacing w:val="9"/>
          <w:sz w:val="24"/>
          <w:szCs w:val="24"/>
          <w:lang w:val="en-GB"/>
        </w:rPr>
        <w:t xml:space="preserve"> </w:t>
      </w:r>
      <w:r w:rsidRPr="00215FA2">
        <w:rPr>
          <w:rFonts w:cstheme="minorHAnsi"/>
          <w:sz w:val="24"/>
          <w:szCs w:val="24"/>
          <w:lang w:val="en-GB"/>
        </w:rPr>
        <w:t>million</w:t>
      </w:r>
      <w:r>
        <w:rPr>
          <w:rFonts w:cstheme="minorHAnsi"/>
          <w:sz w:val="24"/>
          <w:szCs w:val="24"/>
          <w:lang w:val="en-GB"/>
        </w:rPr>
        <w:t>, a relatively high rate</w:t>
      </w:r>
      <w:r w:rsidRPr="00215FA2">
        <w:rPr>
          <w:rFonts w:cstheme="minorHAnsi"/>
          <w:spacing w:val="-1"/>
          <w:sz w:val="24"/>
          <w:szCs w:val="24"/>
          <w:lang w:val="en-GB"/>
        </w:rPr>
        <w:t xml:space="preserve"> </w:t>
      </w:r>
      <w:r>
        <w:rPr>
          <w:rFonts w:cstheme="minorHAnsi"/>
          <w:spacing w:val="-1"/>
          <w:sz w:val="24"/>
          <w:szCs w:val="24"/>
          <w:lang w:val="en-GB"/>
        </w:rPr>
        <w:t xml:space="preserve">compared to earlier </w:t>
      </w:r>
      <w:r w:rsidRPr="00215FA2">
        <w:rPr>
          <w:rFonts w:cstheme="minorHAnsi"/>
          <w:sz w:val="24"/>
          <w:szCs w:val="24"/>
          <w:lang w:val="en-GB"/>
        </w:rPr>
        <w:t>years.</w:t>
      </w:r>
      <w:r w:rsidRPr="00215FA2">
        <w:rPr>
          <w:rFonts w:cstheme="minorHAnsi"/>
          <w:spacing w:val="2"/>
          <w:sz w:val="24"/>
          <w:szCs w:val="24"/>
          <w:lang w:val="en-GB"/>
        </w:rPr>
        <w:t xml:space="preserve"> </w:t>
      </w:r>
    </w:p>
    <w:p w14:paraId="48D5BBE3" w14:textId="77777777" w:rsidR="00A05697" w:rsidRPr="00592DE0" w:rsidRDefault="00A05697" w:rsidP="00A05697">
      <w:pPr>
        <w:pStyle w:val="Heading2"/>
        <w:tabs>
          <w:tab w:val="left" w:pos="9990"/>
        </w:tabs>
        <w:spacing w:before="0" w:line="271" w:lineRule="auto"/>
        <w:jc w:val="both"/>
        <w:rPr>
          <w:rFonts w:asciiTheme="minorHAnsi" w:hAnsiTheme="minorHAnsi" w:cstheme="minorHAnsi"/>
          <w:b/>
          <w:sz w:val="24"/>
          <w:szCs w:val="24"/>
          <w:lang w:val="en-GB"/>
        </w:rPr>
      </w:pPr>
    </w:p>
    <w:p w14:paraId="4A95C5E3" w14:textId="77777777" w:rsidR="00A05697" w:rsidRPr="00592DE0" w:rsidRDefault="00A05697" w:rsidP="00A05697">
      <w:pPr>
        <w:pStyle w:val="Heading2"/>
        <w:tabs>
          <w:tab w:val="left" w:pos="9990"/>
        </w:tabs>
        <w:spacing w:before="0" w:line="271" w:lineRule="auto"/>
        <w:jc w:val="both"/>
        <w:rPr>
          <w:rFonts w:asciiTheme="minorHAnsi" w:hAnsiTheme="minorHAnsi" w:cstheme="minorHAnsi"/>
          <w:b/>
          <w:sz w:val="24"/>
          <w:szCs w:val="24"/>
          <w:lang w:val="en-GB"/>
        </w:rPr>
      </w:pPr>
      <w:r>
        <w:rPr>
          <w:rFonts w:asciiTheme="minorHAnsi" w:hAnsiTheme="minorHAnsi" w:cstheme="minorHAnsi"/>
          <w:b/>
          <w:sz w:val="24"/>
          <w:szCs w:val="24"/>
          <w:lang w:val="en-GB"/>
        </w:rPr>
        <w:t xml:space="preserve">UN </w:t>
      </w:r>
      <w:r w:rsidRPr="00592DE0">
        <w:rPr>
          <w:rFonts w:asciiTheme="minorHAnsi" w:hAnsiTheme="minorHAnsi" w:cstheme="minorHAnsi"/>
          <w:b/>
          <w:sz w:val="24"/>
          <w:szCs w:val="24"/>
          <w:lang w:val="en-GB"/>
        </w:rPr>
        <w:t>Viet Nam SDG Fund</w:t>
      </w:r>
    </w:p>
    <w:p w14:paraId="6ED567CF" w14:textId="77777777" w:rsidR="00A05697" w:rsidRDefault="00A05697" w:rsidP="00A05697">
      <w:pPr>
        <w:pStyle w:val="BodyText"/>
        <w:spacing w:line="271" w:lineRule="auto"/>
        <w:ind w:left="0"/>
        <w:jc w:val="both"/>
        <w:rPr>
          <w:rFonts w:asciiTheme="minorHAnsi" w:eastAsiaTheme="minorHAnsi" w:hAnsiTheme="minorHAnsi" w:cstheme="minorHAnsi"/>
          <w:spacing w:val="15"/>
          <w:sz w:val="24"/>
          <w:szCs w:val="24"/>
          <w:lang w:val="en-GB"/>
        </w:rPr>
      </w:pPr>
    </w:p>
    <w:p w14:paraId="0BFC61F2" w14:textId="74988480" w:rsidR="00A05697" w:rsidRPr="00592DE0" w:rsidRDefault="00A05697" w:rsidP="00A05697">
      <w:pPr>
        <w:pStyle w:val="BodyText"/>
        <w:spacing w:line="271" w:lineRule="auto"/>
        <w:ind w:left="0"/>
        <w:jc w:val="both"/>
        <w:rPr>
          <w:rFonts w:asciiTheme="minorHAnsi" w:eastAsiaTheme="minorHAnsi" w:hAnsiTheme="minorHAnsi" w:cstheme="minorHAnsi"/>
          <w:sz w:val="24"/>
          <w:szCs w:val="24"/>
        </w:rPr>
      </w:pPr>
      <w:r w:rsidRPr="00592DE0">
        <w:rPr>
          <w:rFonts w:asciiTheme="minorHAnsi" w:eastAsiaTheme="minorHAnsi" w:hAnsiTheme="minorHAnsi" w:cstheme="minorHAnsi"/>
          <w:sz w:val="24"/>
          <w:szCs w:val="24"/>
        </w:rPr>
        <w:t>The UN Viet Nam SDG Fund</w:t>
      </w:r>
      <w:r>
        <w:rPr>
          <w:rFonts w:asciiTheme="minorHAnsi" w:eastAsiaTheme="minorHAnsi" w:hAnsiTheme="minorHAnsi" w:cstheme="minorHAnsi"/>
          <w:sz w:val="24"/>
          <w:szCs w:val="24"/>
        </w:rPr>
        <w:t xml:space="preserve"> (SDGF)</w:t>
      </w:r>
      <w:r w:rsidRPr="00592DE0">
        <w:rPr>
          <w:rFonts w:asciiTheme="minorHAnsi" w:eastAsiaTheme="minorHAnsi" w:hAnsiTheme="minorHAnsi" w:cstheme="minorHAnsi"/>
          <w:sz w:val="24"/>
          <w:szCs w:val="24"/>
        </w:rPr>
        <w:t xml:space="preserve"> was established in the end of 2018, based on the rebranding of the One Plan Fund</w:t>
      </w:r>
      <w:r>
        <w:rPr>
          <w:rFonts w:asciiTheme="minorHAnsi" w:eastAsiaTheme="minorHAnsi" w:hAnsiTheme="minorHAnsi" w:cstheme="minorHAnsi"/>
          <w:sz w:val="24"/>
          <w:szCs w:val="24"/>
        </w:rPr>
        <w:t xml:space="preserve"> (OPF) and </w:t>
      </w:r>
      <w:r w:rsidRPr="00592DE0">
        <w:rPr>
          <w:rFonts w:asciiTheme="minorHAnsi" w:eastAsiaTheme="minorHAnsi" w:hAnsiTheme="minorHAnsi" w:cstheme="minorHAnsi"/>
          <w:sz w:val="24"/>
          <w:szCs w:val="24"/>
        </w:rPr>
        <w:t xml:space="preserve">as the result of the UN in Viet Nam’s consultation with the GOVN and the Multi-Partner Trust Fund Office (MPTFO). This aims to provide a local pooled fund, mirroring global efforts on the Joint SDG Fund, to better support SDG acceleration and OSP implementation. In 2019, </w:t>
      </w:r>
      <w:r>
        <w:rPr>
          <w:rFonts w:asciiTheme="minorHAnsi" w:eastAsiaTheme="minorHAnsi" w:hAnsiTheme="minorHAnsi" w:cstheme="minorHAnsi"/>
          <w:sz w:val="24"/>
          <w:szCs w:val="24"/>
        </w:rPr>
        <w:t>MPTFO transferred USD120,904 (in the total of USD252,776 left over from OPF) to SDGF for the Resident Coordinator Office’s operation. An expense of USD54,197 was recorded in 2019</w:t>
      </w:r>
      <w:r w:rsidR="00C4542A">
        <w:rPr>
          <w:rFonts w:asciiTheme="minorHAnsi" w:eastAsiaTheme="minorHAnsi" w:hAnsiTheme="minorHAnsi" w:cstheme="minorHAnsi"/>
          <w:sz w:val="24"/>
          <w:szCs w:val="24"/>
        </w:rPr>
        <w:t xml:space="preserve"> to mainly</w:t>
      </w:r>
      <w:r w:rsidR="00C4542A" w:rsidRPr="00C4542A">
        <w:rPr>
          <w:rFonts w:asciiTheme="minorHAnsi" w:eastAsiaTheme="minorHAnsi" w:hAnsiTheme="minorHAnsi" w:cstheme="minorHAnsi"/>
          <w:sz w:val="24"/>
          <w:szCs w:val="24"/>
        </w:rPr>
        <w:t xml:space="preserve"> cover the salaries for RCO staff</w:t>
      </w:r>
      <w:r w:rsidR="00C4542A">
        <w:rPr>
          <w:rFonts w:asciiTheme="minorHAnsi" w:eastAsiaTheme="minorHAnsi" w:hAnsiTheme="minorHAnsi" w:cstheme="minorHAnsi"/>
          <w:sz w:val="24"/>
          <w:szCs w:val="24"/>
        </w:rPr>
        <w:t xml:space="preserve"> (during the RCO transition period under the UNDS reform) </w:t>
      </w:r>
      <w:r w:rsidR="00C4542A" w:rsidRPr="00C4542A">
        <w:rPr>
          <w:rFonts w:asciiTheme="minorHAnsi" w:eastAsiaTheme="minorHAnsi" w:hAnsiTheme="minorHAnsi" w:cstheme="minorHAnsi"/>
          <w:sz w:val="24"/>
          <w:szCs w:val="24"/>
        </w:rPr>
        <w:t xml:space="preserve">who provided coordination assistance to the UNCT and different substantive inter-agency groups (including Results Groups) in supporting Viet Nam’s SDG implementation and acceleration.     </w:t>
      </w:r>
    </w:p>
    <w:p w14:paraId="7605D928" w14:textId="77777777" w:rsidR="00430731" w:rsidRDefault="00430731"/>
    <w:sectPr w:rsidR="00430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E6373"/>
    <w:multiLevelType w:val="hybridMultilevel"/>
    <w:tmpl w:val="662C1648"/>
    <w:lvl w:ilvl="0" w:tplc="D3E0EA4E">
      <w:numFmt w:val="bullet"/>
      <w:lvlText w:val=""/>
      <w:lvlJc w:val="left"/>
      <w:pPr>
        <w:ind w:left="720" w:hanging="360"/>
      </w:pPr>
      <w:rPr>
        <w:rFonts w:ascii="Symbol" w:eastAsiaTheme="maj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97"/>
    <w:rsid w:val="003802C4"/>
    <w:rsid w:val="003D3E67"/>
    <w:rsid w:val="00430731"/>
    <w:rsid w:val="00A05697"/>
    <w:rsid w:val="00B70A36"/>
    <w:rsid w:val="00C4542A"/>
    <w:rsid w:val="00E8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CC5C"/>
  <w15:chartTrackingRefBased/>
  <w15:docId w15:val="{A2D56B2E-CB9B-443D-8B11-456BA038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5697"/>
  </w:style>
  <w:style w:type="paragraph" w:styleId="Heading1">
    <w:name w:val="heading 1"/>
    <w:basedOn w:val="Normal"/>
    <w:next w:val="Normal"/>
    <w:link w:val="Heading1Char"/>
    <w:uiPriority w:val="9"/>
    <w:qFormat/>
    <w:rsid w:val="00A05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56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05697"/>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A05697"/>
    <w:pPr>
      <w:widowControl w:val="0"/>
      <w:spacing w:after="0" w:line="240" w:lineRule="auto"/>
      <w:ind w:left="720"/>
    </w:pPr>
    <w:rPr>
      <w:rFonts w:ascii="Arial" w:eastAsia="Arial" w:hAnsi="Arial"/>
      <w:sz w:val="20"/>
      <w:szCs w:val="20"/>
    </w:rPr>
  </w:style>
  <w:style w:type="character" w:customStyle="1" w:styleId="BodyTextChar">
    <w:name w:val="Body Text Char"/>
    <w:basedOn w:val="DefaultParagraphFont"/>
    <w:link w:val="BodyText"/>
    <w:uiPriority w:val="1"/>
    <w:rsid w:val="00A05697"/>
    <w:rPr>
      <w:rFonts w:ascii="Arial" w:eastAsia="Arial" w:hAnsi="Arial"/>
      <w:sz w:val="20"/>
      <w:szCs w:val="20"/>
    </w:rPr>
  </w:style>
  <w:style w:type="paragraph" w:styleId="ListParagraph">
    <w:name w:val="List Paragraph"/>
    <w:aliases w:val="123 List Paragraph,Numbered Paragraph,Main numbered paragraph,References,Numbered List Paragraph,Bullets,List Paragraph (numbered (a)),List Paragraph nowy,Liste 1,List_Paragraph,Multilevel para_II,List Paragraph1,Bullet paras,Body,Bullet"/>
    <w:basedOn w:val="Normal"/>
    <w:link w:val="ListParagraphChar"/>
    <w:uiPriority w:val="34"/>
    <w:qFormat/>
    <w:rsid w:val="00A05697"/>
    <w:pPr>
      <w:spacing w:after="0" w:line="240" w:lineRule="auto"/>
      <w:ind w:left="720"/>
      <w:contextualSpacing/>
    </w:pPr>
    <w:rPr>
      <w:rFonts w:ascii="Arial" w:hAnsi="Arial" w:cs="Arial"/>
    </w:rPr>
  </w:style>
  <w:style w:type="character" w:customStyle="1" w:styleId="ListParagraphChar">
    <w:name w:val="List Paragraph Char"/>
    <w:aliases w:val="123 List Paragraph Char,Numbered Paragraph Char,Main numbered paragraph Char,References Char,Numbered List Paragraph Char,Bullets Char,List Paragraph (numbered (a)) Char,List Paragraph nowy Char,Liste 1 Char,List_Paragraph Char"/>
    <w:link w:val="ListParagraph"/>
    <w:uiPriority w:val="34"/>
    <w:qFormat/>
    <w:locked/>
    <w:rsid w:val="00A05697"/>
    <w:rPr>
      <w:rFonts w:ascii="Arial" w:hAnsi="Arial" w:cs="Arial"/>
    </w:rPr>
  </w:style>
  <w:style w:type="paragraph" w:styleId="BalloonText">
    <w:name w:val="Balloon Text"/>
    <w:basedOn w:val="Normal"/>
    <w:link w:val="BalloonTextChar"/>
    <w:uiPriority w:val="99"/>
    <w:semiHidden/>
    <w:unhideWhenUsed/>
    <w:rsid w:val="00A05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697"/>
    <w:rPr>
      <w:rFonts w:ascii="Segoe UI" w:hAnsi="Segoe UI" w:cs="Segoe UI"/>
      <w:sz w:val="18"/>
      <w:szCs w:val="18"/>
    </w:rPr>
  </w:style>
  <w:style w:type="character" w:styleId="CommentReference">
    <w:name w:val="annotation reference"/>
    <w:basedOn w:val="DefaultParagraphFont"/>
    <w:uiPriority w:val="99"/>
    <w:semiHidden/>
    <w:unhideWhenUsed/>
    <w:rsid w:val="003D3E67"/>
    <w:rPr>
      <w:sz w:val="16"/>
      <w:szCs w:val="16"/>
    </w:rPr>
  </w:style>
  <w:style w:type="paragraph" w:styleId="CommentText">
    <w:name w:val="annotation text"/>
    <w:basedOn w:val="Normal"/>
    <w:link w:val="CommentTextChar"/>
    <w:uiPriority w:val="99"/>
    <w:semiHidden/>
    <w:unhideWhenUsed/>
    <w:rsid w:val="003D3E67"/>
    <w:pPr>
      <w:spacing w:line="240" w:lineRule="auto"/>
    </w:pPr>
    <w:rPr>
      <w:sz w:val="20"/>
      <w:szCs w:val="20"/>
    </w:rPr>
  </w:style>
  <w:style w:type="character" w:customStyle="1" w:styleId="CommentTextChar">
    <w:name w:val="Comment Text Char"/>
    <w:basedOn w:val="DefaultParagraphFont"/>
    <w:link w:val="CommentText"/>
    <w:uiPriority w:val="99"/>
    <w:semiHidden/>
    <w:rsid w:val="003D3E67"/>
    <w:rPr>
      <w:sz w:val="20"/>
      <w:szCs w:val="20"/>
    </w:rPr>
  </w:style>
  <w:style w:type="paragraph" w:styleId="CommentSubject">
    <w:name w:val="annotation subject"/>
    <w:basedOn w:val="CommentText"/>
    <w:next w:val="CommentText"/>
    <w:link w:val="CommentSubjectChar"/>
    <w:uiPriority w:val="99"/>
    <w:semiHidden/>
    <w:unhideWhenUsed/>
    <w:rsid w:val="003D3E67"/>
    <w:rPr>
      <w:b/>
      <w:bCs/>
    </w:rPr>
  </w:style>
  <w:style w:type="character" w:customStyle="1" w:styleId="CommentSubjectChar">
    <w:name w:val="Comment Subject Char"/>
    <w:basedOn w:val="CommentTextChar"/>
    <w:link w:val="CommentSubject"/>
    <w:uiPriority w:val="99"/>
    <w:semiHidden/>
    <w:rsid w:val="003D3E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3" Type="http://schemas.openxmlformats.org/officeDocument/2006/relationships/oleObject" Target="file:///C:\Nguyen%20Bui%20Linh%20RCO%201\01.%20DaO%20Viet%20Nam\One%20Plan\One%20Strategic%20Plan%202017-2021\9%20OSP%20Monitoring%20for%20Strategic%20Results\OSP%20Review%20and%20Reporting\One%20UN%20Results%20Reports\2019\UNInfo%20data\CBF%20by%20Agency%2017Apr2020.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chemeClr val="tx1">
                    <a:lumMod val="65000"/>
                    <a:lumOff val="35000"/>
                  </a:schemeClr>
                </a:solidFill>
                <a:latin typeface="+mn-lt"/>
                <a:ea typeface="+mn-ea"/>
                <a:cs typeface="+mn-cs"/>
              </a:defRPr>
            </a:pPr>
            <a:r>
              <a:rPr lang="en-US" sz="1300" b="1"/>
              <a:t>Chart</a:t>
            </a:r>
            <a:r>
              <a:rPr lang="en-US" sz="1300" b="1" baseline="0"/>
              <a:t> 1. </a:t>
            </a:r>
            <a:r>
              <a:rPr lang="en-US" sz="1300" b="1"/>
              <a:t>UN Investment</a:t>
            </a:r>
            <a:r>
              <a:rPr lang="en-US" sz="1300" b="1" baseline="0"/>
              <a:t> in Different OSP Outcomes 2017-2019</a:t>
            </a:r>
            <a:endParaRPr lang="en-US" sz="1300" b="1"/>
          </a:p>
        </c:rich>
      </c:tx>
      <c:overlay val="0"/>
      <c:spPr>
        <a:noFill/>
        <a:ln>
          <a:noFill/>
        </a:ln>
        <a:effectLst/>
      </c:spPr>
      <c:txPr>
        <a:bodyPr rot="0" spcFirstLastPara="1" vertOverflow="ellipsis" vert="horz" wrap="square" anchor="ctr" anchorCtr="1"/>
        <a:lstStyle/>
        <a:p>
          <a:pPr>
            <a:defRPr sz="13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597029119428078"/>
          <c:y val="0.23263241144738142"/>
          <c:w val="0.55321610687381229"/>
          <c:h val="0.73009225984519155"/>
        </c:manualLayout>
      </c:layout>
      <c:radarChart>
        <c:radarStyle val="marker"/>
        <c:varyColors val="0"/>
        <c:ser>
          <c:idx val="0"/>
          <c:order val="0"/>
          <c:tx>
            <c:strRef>
              <c:f>'By FA &amp; Outcome'!$AE$4</c:f>
              <c:strCache>
                <c:ptCount val="1"/>
                <c:pt idx="0">
                  <c:v>2017</c:v>
                </c:pt>
              </c:strCache>
            </c:strRef>
          </c:tx>
          <c:spPr>
            <a:ln w="28575" cap="rnd">
              <a:solidFill>
                <a:schemeClr val="accent1"/>
              </a:solidFill>
              <a:round/>
            </a:ln>
            <a:effectLst/>
          </c:spPr>
          <c:marker>
            <c:symbol val="none"/>
          </c:marker>
          <c:cat>
            <c:strRef>
              <c:f>'By FA &amp; Outcome'!$AD$5:$AD$13</c:f>
              <c:strCache>
                <c:ptCount val="9"/>
                <c:pt idx="0">
                  <c:v>Outcome 1.1</c:v>
                </c:pt>
                <c:pt idx="1">
                  <c:v>Outcome 1.2</c:v>
                </c:pt>
                <c:pt idx="2">
                  <c:v>Outcome 1.3</c:v>
                </c:pt>
                <c:pt idx="3">
                  <c:v>Outcome 2.1</c:v>
                </c:pt>
                <c:pt idx="4">
                  <c:v>Outcome 2.2</c:v>
                </c:pt>
                <c:pt idx="5">
                  <c:v>Outcome 3.1</c:v>
                </c:pt>
                <c:pt idx="6">
                  <c:v>Outcome 3.2</c:v>
                </c:pt>
                <c:pt idx="7">
                  <c:v>Outcome 4.1</c:v>
                </c:pt>
                <c:pt idx="8">
                  <c:v>Outcome 4.2</c:v>
                </c:pt>
              </c:strCache>
            </c:strRef>
          </c:cat>
          <c:val>
            <c:numRef>
              <c:f>'By FA &amp; Outcome'!$AE$5:$AE$13</c:f>
              <c:numCache>
                <c:formatCode>0.0%</c:formatCode>
                <c:ptCount val="9"/>
                <c:pt idx="0">
                  <c:v>9.6791506472574396E-2</c:v>
                </c:pt>
                <c:pt idx="1">
                  <c:v>0.19332280672687868</c:v>
                </c:pt>
                <c:pt idx="2">
                  <c:v>5.3851046496811723E-2</c:v>
                </c:pt>
                <c:pt idx="3">
                  <c:v>0.15136267640464354</c:v>
                </c:pt>
                <c:pt idx="4">
                  <c:v>0.19968369062966018</c:v>
                </c:pt>
                <c:pt idx="5">
                  <c:v>7.217983434922956E-2</c:v>
                </c:pt>
                <c:pt idx="6">
                  <c:v>3.4002183368055612E-2</c:v>
                </c:pt>
                <c:pt idx="7">
                  <c:v>0.1085537886503667</c:v>
                </c:pt>
                <c:pt idx="8">
                  <c:v>9.025246690177964E-2</c:v>
                </c:pt>
              </c:numCache>
            </c:numRef>
          </c:val>
          <c:extLst>
            <c:ext xmlns:c16="http://schemas.microsoft.com/office/drawing/2014/chart" uri="{C3380CC4-5D6E-409C-BE32-E72D297353CC}">
              <c16:uniqueId val="{00000000-7FC0-4A76-B96E-2DF5D4B0F052}"/>
            </c:ext>
          </c:extLst>
        </c:ser>
        <c:ser>
          <c:idx val="1"/>
          <c:order val="1"/>
          <c:tx>
            <c:strRef>
              <c:f>'By FA &amp; Outcome'!$AF$4</c:f>
              <c:strCache>
                <c:ptCount val="1"/>
                <c:pt idx="0">
                  <c:v>2018</c:v>
                </c:pt>
              </c:strCache>
            </c:strRef>
          </c:tx>
          <c:spPr>
            <a:ln w="28575" cap="rnd">
              <a:solidFill>
                <a:schemeClr val="accent2"/>
              </a:solidFill>
              <a:round/>
            </a:ln>
            <a:effectLst/>
          </c:spPr>
          <c:marker>
            <c:symbol val="none"/>
          </c:marker>
          <c:cat>
            <c:strRef>
              <c:f>'By FA &amp; Outcome'!$AD$5:$AD$13</c:f>
              <c:strCache>
                <c:ptCount val="9"/>
                <c:pt idx="0">
                  <c:v>Outcome 1.1</c:v>
                </c:pt>
                <c:pt idx="1">
                  <c:v>Outcome 1.2</c:v>
                </c:pt>
                <c:pt idx="2">
                  <c:v>Outcome 1.3</c:v>
                </c:pt>
                <c:pt idx="3">
                  <c:v>Outcome 2.1</c:v>
                </c:pt>
                <c:pt idx="4">
                  <c:v>Outcome 2.2</c:v>
                </c:pt>
                <c:pt idx="5">
                  <c:v>Outcome 3.1</c:v>
                </c:pt>
                <c:pt idx="6">
                  <c:v>Outcome 3.2</c:v>
                </c:pt>
                <c:pt idx="7">
                  <c:v>Outcome 4.1</c:v>
                </c:pt>
                <c:pt idx="8">
                  <c:v>Outcome 4.2</c:v>
                </c:pt>
              </c:strCache>
            </c:strRef>
          </c:cat>
          <c:val>
            <c:numRef>
              <c:f>'By FA &amp; Outcome'!$AF$5:$AF$13</c:f>
              <c:numCache>
                <c:formatCode>0.0%</c:formatCode>
                <c:ptCount val="9"/>
                <c:pt idx="0">
                  <c:v>5.7743727509430812E-2</c:v>
                </c:pt>
                <c:pt idx="1">
                  <c:v>0.22617482199609779</c:v>
                </c:pt>
                <c:pt idx="2">
                  <c:v>6.3914505134743838E-2</c:v>
                </c:pt>
                <c:pt idx="3">
                  <c:v>8.6407302566472402E-2</c:v>
                </c:pt>
                <c:pt idx="4">
                  <c:v>0.21817558485686644</c:v>
                </c:pt>
                <c:pt idx="5">
                  <c:v>5.5218778909133286E-2</c:v>
                </c:pt>
                <c:pt idx="6">
                  <c:v>4.0300018471883456E-2</c:v>
                </c:pt>
                <c:pt idx="7">
                  <c:v>0.14875330059790726</c:v>
                </c:pt>
                <c:pt idx="8">
                  <c:v>0.10331195995746474</c:v>
                </c:pt>
              </c:numCache>
            </c:numRef>
          </c:val>
          <c:extLst>
            <c:ext xmlns:c16="http://schemas.microsoft.com/office/drawing/2014/chart" uri="{C3380CC4-5D6E-409C-BE32-E72D297353CC}">
              <c16:uniqueId val="{00000001-7FC0-4A76-B96E-2DF5D4B0F052}"/>
            </c:ext>
          </c:extLst>
        </c:ser>
        <c:ser>
          <c:idx val="2"/>
          <c:order val="2"/>
          <c:tx>
            <c:strRef>
              <c:f>'By FA &amp; Outcome'!$AG$4</c:f>
              <c:strCache>
                <c:ptCount val="1"/>
                <c:pt idx="0">
                  <c:v>2019</c:v>
                </c:pt>
              </c:strCache>
            </c:strRef>
          </c:tx>
          <c:spPr>
            <a:ln w="28575" cap="rnd">
              <a:solidFill>
                <a:schemeClr val="accent3"/>
              </a:solidFill>
              <a:round/>
            </a:ln>
            <a:effectLst/>
          </c:spPr>
          <c:marker>
            <c:symbol val="none"/>
          </c:marker>
          <c:cat>
            <c:strRef>
              <c:f>'By FA &amp; Outcome'!$AD$5:$AD$13</c:f>
              <c:strCache>
                <c:ptCount val="9"/>
                <c:pt idx="0">
                  <c:v>Outcome 1.1</c:v>
                </c:pt>
                <c:pt idx="1">
                  <c:v>Outcome 1.2</c:v>
                </c:pt>
                <c:pt idx="2">
                  <c:v>Outcome 1.3</c:v>
                </c:pt>
                <c:pt idx="3">
                  <c:v>Outcome 2.1</c:v>
                </c:pt>
                <c:pt idx="4">
                  <c:v>Outcome 2.2</c:v>
                </c:pt>
                <c:pt idx="5">
                  <c:v>Outcome 3.1</c:v>
                </c:pt>
                <c:pt idx="6">
                  <c:v>Outcome 3.2</c:v>
                </c:pt>
                <c:pt idx="7">
                  <c:v>Outcome 4.1</c:v>
                </c:pt>
                <c:pt idx="8">
                  <c:v>Outcome 4.2</c:v>
                </c:pt>
              </c:strCache>
            </c:strRef>
          </c:cat>
          <c:val>
            <c:numRef>
              <c:f>'By FA &amp; Outcome'!$AG$5:$AG$13</c:f>
              <c:numCache>
                <c:formatCode>0.0%</c:formatCode>
                <c:ptCount val="9"/>
                <c:pt idx="0">
                  <c:v>4.908545725819187E-2</c:v>
                </c:pt>
                <c:pt idx="1">
                  <c:v>0.16271953003180561</c:v>
                </c:pt>
                <c:pt idx="2">
                  <c:v>4.6493468560354981E-2</c:v>
                </c:pt>
                <c:pt idx="3">
                  <c:v>0.35258130229225876</c:v>
                </c:pt>
                <c:pt idx="4">
                  <c:v>4.3885517910631777E-2</c:v>
                </c:pt>
                <c:pt idx="5">
                  <c:v>6.5961017803804992E-2</c:v>
                </c:pt>
                <c:pt idx="6">
                  <c:v>3.9041460672367009E-2</c:v>
                </c:pt>
                <c:pt idx="7">
                  <c:v>6.8666047369156824E-2</c:v>
                </c:pt>
                <c:pt idx="8">
                  <c:v>0.17156619810142829</c:v>
                </c:pt>
              </c:numCache>
            </c:numRef>
          </c:val>
          <c:extLst>
            <c:ext xmlns:c16="http://schemas.microsoft.com/office/drawing/2014/chart" uri="{C3380CC4-5D6E-409C-BE32-E72D297353CC}">
              <c16:uniqueId val="{00000002-7FC0-4A76-B96E-2DF5D4B0F052}"/>
            </c:ext>
          </c:extLst>
        </c:ser>
        <c:dLbls>
          <c:showLegendKey val="0"/>
          <c:showVal val="0"/>
          <c:showCatName val="0"/>
          <c:showSerName val="0"/>
          <c:showPercent val="0"/>
          <c:showBubbleSize val="0"/>
        </c:dLbls>
        <c:axId val="733559416"/>
        <c:axId val="679100056"/>
      </c:radarChart>
      <c:catAx>
        <c:axId val="733559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79100056"/>
        <c:crosses val="autoZero"/>
        <c:auto val="1"/>
        <c:lblAlgn val="ctr"/>
        <c:lblOffset val="100"/>
        <c:noMultiLvlLbl val="0"/>
      </c:catAx>
      <c:valAx>
        <c:axId val="679100056"/>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7335594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DP Document" ma:contentTypeID="0x010100F075C04BA242A84ABD3293E3AD35CDA400D1AAAE7E6891974D9C8CF00BB14F0F79" ma:contentTypeVersion="2" ma:contentTypeDescription="Create a new document." ma:contentTypeScope="" ma:versionID="3f15cd5937d9e653e4780f9948ced1d2">
  <xsd:schema xmlns:xsd="http://www.w3.org/2001/XMLSchema" xmlns:xs="http://www.w3.org/2001/XMLSchema" xmlns:p="http://schemas.microsoft.com/office/2006/metadata/properties" xmlns:ns2="http://schemas.microsoft.com/sharepoint/v3/fields" xmlns:ns3="c9def77c-978a-46d2-aeb8-0cfb20a6c31e" xmlns:ns4="1ed4137b-41b2-488b-8250-6d369ec27664" targetNamespace="http://schemas.microsoft.com/office/2006/metadata/properties" ma:root="true" ma:fieldsID="4e66b73b96d50e7aaebf79249ba4fe89" ns2:_="" ns3:_="" ns4:_="">
    <xsd:import namespace="http://schemas.microsoft.com/sharepoint/v3/fields"/>
    <xsd:import namespace="c9def77c-978a-46d2-aeb8-0cfb20a6c31e"/>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_x0020_LanguagesTaxHTField0" minOccurs="0"/>
                <xsd:element ref="ns3:TaxCatchAll" minOccurs="0"/>
                <xsd:element ref="ns3:TaxCatchAllLabel" minOccurs="0"/>
                <xsd:element ref="ns4:UndpClassificationLevel" minOccurs="0"/>
                <xsd:element ref="ns3:UNDPPOPPFunctionalArea" minOccurs="0"/>
                <xsd:element ref="ns4:UNDPDocumentCategoryTaxHTField0" minOccurs="0"/>
                <xsd:element ref="ns4:UndpDocTypeMMTaxHTField0" minOccurs="0"/>
                <xsd:element ref="ns3:c0f5d6bc94c24efb8cb3448ca9792810" minOccurs="0"/>
                <xsd:element ref="ns4:b6db62fdefd74bd188b0c1cc54de5bcf" minOccurs="0"/>
                <xsd:element ref="ns4:UNDPCountryTaxHTField0" minOccurs="0"/>
                <xsd:element ref="ns4:UndpProjectNo" minOccurs="0"/>
                <xsd:element ref="ns3:UndpDocStatus" minOccurs="0"/>
                <xsd:element ref="ns3:UndpIsTemplate" minOccurs="0"/>
                <xsd:element ref="ns4:UndpOUCode" minOccurs="0"/>
                <xsd:element ref="ns4:UndpDocFormat" minOccurs="0"/>
                <xsd:element ref="ns4:c4e2ab2cc9354bbf9064eeb465a566ea" minOccurs="0"/>
                <xsd:element ref="ns4:Undp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1"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ef77c-978a-46d2-aeb8-0cfb20a6c31e" elementFormDefault="qualified">
    <xsd:import namespace="http://schemas.microsoft.com/office/2006/documentManagement/types"/>
    <xsd:import namespace="http://schemas.microsoft.com/office/infopath/2007/PartnerControls"/>
    <xsd:element name="UNDPSummary" ma:index="9" nillable="true" ma:displayName="Summary" ma:description="A brief description or summary of the document" ma:internalName="UNDPSummary">
      <xsd:simpleType>
        <xsd:restriction base="dms:Note">
          <xsd:maxLength value="255"/>
        </xsd:restriction>
      </xsd:simpleType>
    </xsd:element>
    <xsd:element name="UNDPPublishedDate" ma:index="12" nillable="true" ma:displayName="Published Date" ma:description="The date the document was published" ma:format="DateOnly" ma:internalName="UNDPPublishedDate">
      <xsd:simpleType>
        <xsd:restriction base="dms:DateTime"/>
      </xsd:simpleType>
    </xsd:element>
    <xsd:element name="TaxCatchAll" ma:index="14" nillable="true" ma:displayName="Taxonomy Catch All Column" ma:description="" ma:hidden="true" ma:list="{af4d72b4-f69e-4274-9424-c635373c052c}" ma:internalName="TaxCatchAll" ma:showField="CatchAllData"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af4d72b4-f69e-4274-9424-c635373c052c}" ma:internalName="TaxCatchAllLabel" ma:readOnly="true" ma:showField="CatchAllDataLabel"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UNDPPOPPFunctionalArea" ma:index="18"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nd Accountability"/>
          <xsd:enumeration value="Security"/>
        </xsd:restriction>
      </xsd:simpleType>
    </xsd:element>
    <xsd:element name="c0f5d6bc94c24efb8cb3448ca9792810" ma:index="23" nillable="true" ma:taxonomy="true" ma:internalName="c0f5d6bc94c24efb8cb3448ca9792810" ma:taxonomyFieldName="UNDPFocusAreas" ma:displayName="Focus Area" ma:fieldId="{c0f5d6bc-94c2-4efb-8cb3-448ca9792810}"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Status" ma:index="30" nillable="true" ma:displayName="Document Status" ma:default="Draft" ma:description="The status of the document" ma:format="Dropdown" ma:internalName="UndpDocStatus">
      <xsd:simpleType>
        <xsd:restriction base="dms:Choice">
          <xsd:enumeration value="Draft"/>
          <xsd:enumeration value="Final"/>
          <xsd:enumeration value="Reviewed"/>
        </xsd:restriction>
      </xsd:simpleType>
    </xsd:element>
    <xsd:element name="UndpIsTemplate" ma:index="31"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_x0020_LanguagesTaxHTField0" ma:index="13" nillable="true" ma:taxonomy="true" ma:internalName="UN_x0020_LanguagesTaxHTField0" ma:taxonomyFieldName="UN_x0020_Languages" ma:displayName="UN Language" ma:default="" ma:fieldId="{41a2b052-e54a-4bfe-83da-6da45935c81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lassificationLevel" ma:index="17"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DocumentCategoryTaxHTField0" ma:index="19" nillable="true" ma:taxonomy="true" ma:internalName="UNDPDocumentCategoryTaxHTField0" ma:taxonomyFieldName="UNDPDocumentCategory" ma:displayName="Document Category" ma:default="" ma:fieldId="{30683383-b7b1-438d-8f61-9bf6b516a9e8}"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TypeMMTaxHTField0" ma:index="21" nillable="true" ma:taxonomy="true" ma:internalName="UndpDocTypeMMTaxHTField0" ma:taxonomyFieldName="UndpDocTypeMM" ma:displayName="Document Type" ma:default="" ma:fieldId="{ef94467a-fb76-4b42-91a0-5b5bdb6c8d34}"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b6db62fdefd74bd188b0c1cc54de5bcf" ma:index="25" nillable="true" ma:taxonomy="true" ma:internalName="b6db62fdefd74bd188b0c1cc54de5bcf" ma:taxonomyFieldName="UndpUnitMM" ma:displayName="Responsible Unit/Office" ma:default="" ma:fieldId="{b6db62fd-efd7-4bd1-88b0-c1cc54de5bc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Country" ma:default="" ma:fieldId="{81e4cc14-7d66-47aa-92fc-e5e3ceab8cf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ProjectNo" ma:index="29" nillable="true" ma:displayName="Project No" ma:description="If applicable, the Atlas Project Number of the authoring Unit" ma:internalName="UndpProjectNo">
      <xsd:simpleType>
        <xsd:restriction base="dms:Text">
          <xsd:maxLength value="12"/>
        </xsd:restriction>
      </xsd:simpleType>
    </xsd:element>
    <xsd:element name="UndpOUCode" ma:index="32"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44"/>
          <xsd:enumeration value="R45"/>
          <xsd:enumeration value="R46"/>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restriction>
      </xsd:simpleType>
    </xsd:element>
    <xsd:element name="UndpDocFormat" ma:index="33"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ID" ma:index="36" nillable="true" ma:displayName="Doc ID" ma:description="The Unique ID number for this document" ma:internalName="UndpDocID">
      <xsd:simpleType>
        <xsd:restriction base="dms:Text">
          <xsd:maxLength value="3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CountryTaxHTField0 xmlns="1ed4137b-41b2-488b-8250-6d369ec27664">
      <Terms xmlns="http://schemas.microsoft.com/office/infopath/2007/PartnerControls"/>
    </UNDPCountryTaxHTField0>
    <UndpDocFormat xmlns="1ed4137b-41b2-488b-8250-6d369ec27664" xsi:nil="true"/>
    <UndpDocTypeMMTaxHTField0 xmlns="1ed4137b-41b2-488b-8250-6d369ec27664">
      <Terms xmlns="http://schemas.microsoft.com/office/infopath/2007/PartnerControls"/>
    </UndpDocTypeMMTaxHTField0>
    <UndpOUCode xmlns="1ed4137b-41b2-488b-8250-6d369ec27664" xsi:nil="true"/>
    <UNDPSummary xmlns="c9def77c-978a-46d2-aeb8-0cfb20a6c31e" xsi:nil="true"/>
    <_Publisher xmlns="http://schemas.microsoft.com/sharepoint/v3/fields" xsi:nil="true"/>
    <UNDPPublishedDate xmlns="c9def77c-978a-46d2-aeb8-0cfb20a6c31e" xsi:nil="true"/>
    <c4e2ab2cc9354bbf9064eeb465a566ea xmlns="1ed4137b-41b2-488b-8250-6d369ec27664">
      <Terms xmlns="http://schemas.microsoft.com/office/infopath/2007/PartnerControls"/>
    </c4e2ab2cc9354bbf9064eeb465a566ea>
    <UndpProjectNo xmlns="1ed4137b-41b2-488b-8250-6d369ec27664" xsi:nil="true"/>
    <TaxCatchAll xmlns="c9def77c-978a-46d2-aeb8-0cfb20a6c31e"/>
    <UndpClassificationLevel xmlns="1ed4137b-41b2-488b-8250-6d369ec27664">Internal Use Only</UndpClassificationLevel>
    <UndpDocStatus xmlns="c9def77c-978a-46d2-aeb8-0cfb20a6c31e">Draft</UndpDocStatus>
    <UndpIsTemplate xmlns="c9def77c-978a-46d2-aeb8-0cfb20a6c31e">No</UndpIsTemplate>
    <UNDPPOPPFunctionalArea xmlns="c9def77c-978a-46d2-aeb8-0cfb20a6c31e" xsi:nil="true"/>
    <UndpDocID xmlns="1ed4137b-41b2-488b-8250-6d369ec27664" xsi:nil="true"/>
    <UN_x0020_LanguagesTaxHTField0 xmlns="1ed4137b-41b2-488b-8250-6d369ec27664">
      <Terms xmlns="http://schemas.microsoft.com/office/infopath/2007/PartnerControls"/>
    </UN_x0020_LanguagesTaxHTField0>
    <c0f5d6bc94c24efb8cb3448ca9792810 xmlns="c9def77c-978a-46d2-aeb8-0cfb20a6c31e">
      <Terms xmlns="http://schemas.microsoft.com/office/infopath/2007/PartnerControls"/>
    </c0f5d6bc94c24efb8cb3448ca9792810>
  </documentManagement>
</p:properties>
</file>

<file path=customXml/itemProps1.xml><?xml version="1.0" encoding="utf-8"?>
<ds:datastoreItem xmlns:ds="http://schemas.openxmlformats.org/officeDocument/2006/customXml" ds:itemID="{FB5EA81F-0930-4DD9-B765-B4A9DACDAAFB}"/>
</file>

<file path=customXml/itemProps2.xml><?xml version="1.0" encoding="utf-8"?>
<ds:datastoreItem xmlns:ds="http://schemas.openxmlformats.org/officeDocument/2006/customXml" ds:itemID="{40112E80-A2F1-495A-9977-9526A24630AB}"/>
</file>

<file path=customXml/itemProps3.xml><?xml version="1.0" encoding="utf-8"?>
<ds:datastoreItem xmlns:ds="http://schemas.openxmlformats.org/officeDocument/2006/customXml" ds:itemID="{AD986286-CEC6-4353-8C74-D0207DA74CEC}"/>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Bui Linh</dc:creator>
  <cp:keywords/>
  <dc:description/>
  <cp:lastModifiedBy>Tran Thi Minh Tien</cp:lastModifiedBy>
  <cp:revision>2</cp:revision>
  <dcterms:created xsi:type="dcterms:W3CDTF">2020-05-28T04:06:00Z</dcterms:created>
  <dcterms:modified xsi:type="dcterms:W3CDTF">2020-05-28T04:06:00Z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0x010100F075C04BA242A84ABD3293E3AD35CDA400D1AAAE7E6891974D9C8CF00BB14F0F79</vt:lpwstr>
  </property>
</Properties>
</file>