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F91" w:rsidRDefault="00FE7F1E">
      <w:pPr>
        <w:jc w:val="center"/>
        <w:divId w:val="338385805"/>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Pakistan One Fund </w:t>
      </w:r>
    </w:p>
    <w:p w:rsidR="00A24F91" w:rsidRDefault="00FE7F1E">
      <w:pPr>
        <w:jc w:val="center"/>
        <w:divId w:val="1558736568"/>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A24F91" w:rsidRDefault="00FE7F1E">
      <w:pPr>
        <w:jc w:val="center"/>
        <w:divId w:val="925842460"/>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rsidR="00A24F91" w:rsidRDefault="00FE7F1E">
      <w:pPr>
        <w:jc w:val="center"/>
        <w:divId w:val="300229499"/>
        <w:rPr>
          <w:rFonts w:ascii="Calibri" w:eastAsia="Times New Roman" w:hAnsi="Calibri" w:cs="Calibri"/>
          <w:sz w:val="20"/>
          <w:szCs w:val="20"/>
        </w:rPr>
      </w:pPr>
      <w:r>
        <w:rPr>
          <w:rFonts w:ascii="Calibri" w:eastAsia="Times New Roman" w:hAnsi="Calibri" w:cs="Calibri"/>
          <w:b/>
          <w:bCs/>
          <w:sz w:val="20"/>
          <w:szCs w:val="20"/>
        </w:rPr>
        <w:t>13 May 2020</w:t>
      </w:r>
    </w:p>
    <w:p w:rsidR="00A24F91" w:rsidRDefault="00FE7F1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PAKISTAN ONE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A24F91">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A24F91">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631"/>
              <w:gridCol w:w="2479"/>
            </w:tblGrid>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181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Food and Agriculture Organizat</w:t>
                  </w:r>
                  <w:r w:rsidR="00CB12DE">
                    <w:rPr>
                      <w:rFonts w:ascii="Calibri" w:eastAsia="Times New Roman" w:hAnsi="Calibri" w:cs="Calibri"/>
                      <w:sz w:val="20"/>
                      <w:szCs w:val="20"/>
                    </w:rPr>
                    <w:t>ion</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8000" cy="4470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08000" cy="4470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International Labour Organisat</w:t>
                  </w:r>
                  <w:r w:rsidR="00CB12DE">
                    <w:rPr>
                      <w:rFonts w:ascii="Calibri" w:eastAsia="Times New Roman" w:hAnsi="Calibri" w:cs="Calibri"/>
                      <w:sz w:val="20"/>
                      <w:szCs w:val="20"/>
                    </w:rPr>
                    <w:t>ion</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67360" cy="5588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67360" cy="5588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International Org</w:t>
                  </w:r>
                  <w:r w:rsidR="00CB12DE">
                    <w:rPr>
                      <w:rFonts w:ascii="Calibri" w:eastAsia="Times New Roman" w:hAnsi="Calibri" w:cs="Calibri"/>
                      <w:sz w:val="20"/>
                      <w:szCs w:val="20"/>
                    </w:rPr>
                    <w:t>anization for</w:t>
                  </w:r>
                  <w:r>
                    <w:rPr>
                      <w:rFonts w:ascii="Calibri" w:eastAsia="Times New Roman" w:hAnsi="Calibri" w:cs="Calibri"/>
                      <w:sz w:val="20"/>
                      <w:szCs w:val="20"/>
                    </w:rPr>
                    <w:t xml:space="preserve"> Migration</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9784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497840" cy="4572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 xml:space="preserve">Joint United </w:t>
                  </w:r>
                  <w:r w:rsidR="00CB12DE">
                    <w:rPr>
                      <w:rFonts w:ascii="Calibri" w:eastAsia="Times New Roman" w:hAnsi="Calibri" w:cs="Calibri"/>
                      <w:sz w:val="20"/>
                      <w:szCs w:val="20"/>
                    </w:rPr>
                    <w:t>N</w:t>
                  </w:r>
                  <w:r>
                    <w:rPr>
                      <w:rFonts w:ascii="Calibri" w:eastAsia="Times New Roman" w:hAnsi="Calibri" w:cs="Calibri"/>
                      <w:sz w:val="20"/>
                      <w:szCs w:val="20"/>
                    </w:rPr>
                    <w:t>ations Programme</w:t>
                  </w:r>
                  <w:r w:rsidR="00CB12DE">
                    <w:rPr>
                      <w:rFonts w:ascii="Calibri" w:eastAsia="Times New Roman" w:hAnsi="Calibri" w:cs="Calibri"/>
                      <w:sz w:val="20"/>
                      <w:szCs w:val="20"/>
                    </w:rPr>
                    <w:t xml:space="preserve"> for AIDS/HIV</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274320" cy="5283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U</w:t>
                  </w:r>
                  <w:r w:rsidR="00CB12DE">
                    <w:rPr>
                      <w:rFonts w:ascii="Calibri" w:eastAsia="Times New Roman" w:hAnsi="Calibri" w:cs="Calibri"/>
                      <w:sz w:val="20"/>
                      <w:szCs w:val="20"/>
                    </w:rPr>
                    <w:t>nited Nations Development Programme</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67360" cy="528320"/>
                        <wp:effectExtent l="0" t="0" r="889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6736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United Nations Environment Pro</w:t>
                  </w:r>
                  <w:r w:rsidR="00CB12DE">
                    <w:rPr>
                      <w:rFonts w:ascii="Calibri" w:eastAsia="Times New Roman" w:hAnsi="Calibri" w:cs="Calibri"/>
                      <w:sz w:val="20"/>
                      <w:szCs w:val="20"/>
                    </w:rPr>
                    <w:t>gramme</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97840" cy="40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497840" cy="4064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United Nations Educational, Sc</w:t>
                  </w:r>
                  <w:r w:rsidR="00CB12DE">
                    <w:rPr>
                      <w:rFonts w:ascii="Calibri" w:eastAsia="Times New Roman" w:hAnsi="Calibri" w:cs="Calibri"/>
                      <w:sz w:val="20"/>
                      <w:szCs w:val="20"/>
                    </w:rPr>
                    <w:t>ientific and Cultural Organization</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48640" cy="2438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United Nations Population Fund</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8320" cy="508000"/>
                        <wp:effectExtent l="0" t="0" r="508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28320" cy="5080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UN Centre for Human Settlement</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57200" cy="4673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457200" cy="4673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UN High Commissioner for Refug</w:t>
                  </w:r>
                  <w:r w:rsidR="00CB12DE">
                    <w:rPr>
                      <w:rFonts w:ascii="Calibri" w:eastAsia="Times New Roman" w:hAnsi="Calibri" w:cs="Calibri"/>
                      <w:sz w:val="20"/>
                      <w:szCs w:val="20"/>
                    </w:rPr>
                    <w:t>ees</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34720" cy="2336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934720" cy="233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lastRenderedPageBreak/>
                    <w:drawing>
                      <wp:inline distT="0" distB="0" distL="0" distR="0">
                        <wp:extent cx="528320" cy="487680"/>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528320" cy="487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UN Industrial Development Orga</w:t>
                  </w:r>
                  <w:r w:rsidR="00CB12DE">
                    <w:rPr>
                      <w:rFonts w:ascii="Calibri" w:eastAsia="Times New Roman" w:hAnsi="Calibri" w:cs="Calibri"/>
                      <w:sz w:val="20"/>
                      <w:szCs w:val="20"/>
                    </w:rPr>
                    <w:t>nization</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14400" cy="2946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914400" cy="2946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UN Office for Drug and Crime</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40707" cy="323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953230" cy="328161"/>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UNWOMEN</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8320" cy="5283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528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World Food Programme</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822960" cy="243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82296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World Health Organization</w:t>
                  </w:r>
                </w:p>
              </w:tc>
            </w:tr>
          </w:tbl>
          <w:p w:rsidR="00A24F91" w:rsidRDefault="00A24F91">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081"/>
              <w:gridCol w:w="3329"/>
            </w:tblGrid>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lastRenderedPageBreak/>
                    <w:drawing>
                      <wp:inline distT="0" distB="0" distL="0" distR="0">
                        <wp:extent cx="591185" cy="3524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593619" cy="353876"/>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Australian Agency for Int'l Development</w:t>
                  </w:r>
                </w:p>
              </w:tc>
            </w:tr>
            <w:tr w:rsidR="00A24F91">
              <w:trPr>
                <w:tblCellSpacing w:w="0" w:type="dxa"/>
              </w:trPr>
              <w:tc>
                <w:tcPr>
                  <w:tcW w:w="50" w:type="pct"/>
                  <w:noWrap/>
                  <w:tcMar>
                    <w:top w:w="150" w:type="dxa"/>
                    <w:left w:w="0" w:type="dxa"/>
                    <w:bottom w:w="150" w:type="dxa"/>
                    <w:right w:w="150" w:type="dxa"/>
                  </w:tcMar>
                  <w:hideMark/>
                </w:tcPr>
                <w:p w:rsidR="00A24F91" w:rsidRDefault="00133975">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5FACF82A" wp14:editId="09B9560D">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Delivering Results Together</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36201" cy="276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551537" cy="284126"/>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DEPARTMENT FOR INT'L DEVELOPMENT (DFID)</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52450" cy="368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552791" cy="368527"/>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Expanded DaO Funding Window</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35940" cy="3644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38525" cy="366197"/>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NETHERLANDS, Government of</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14350" cy="3657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522633" cy="3716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NORWAY, Government of</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3875" cy="3238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SPAIN, Government of</w:t>
                  </w:r>
                </w:p>
              </w:tc>
            </w:tr>
            <w:tr w:rsidR="00A24F91">
              <w:trPr>
                <w:tblCellSpacing w:w="0" w:type="dxa"/>
              </w:trPr>
              <w:tc>
                <w:tcPr>
                  <w:tcW w:w="50" w:type="pct"/>
                  <w:noWrap/>
                  <w:tcMar>
                    <w:top w:w="150" w:type="dxa"/>
                    <w:left w:w="0" w:type="dxa"/>
                    <w:bottom w:w="150" w:type="dxa"/>
                    <w:right w:w="150" w:type="dxa"/>
                  </w:tcMar>
                  <w:hideMark/>
                </w:tcPr>
                <w:p w:rsidR="00A24F91" w:rsidRDefault="00FE7F1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4825" cy="323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sz w:val="20"/>
                      <w:szCs w:val="20"/>
                    </w:rPr>
                    <w:t>SWISS AGY FOR DEVELOPMENT &amp; COOPERATION</w:t>
                  </w:r>
                </w:p>
              </w:tc>
            </w:tr>
          </w:tbl>
          <w:p w:rsidR="00A24F91" w:rsidRDefault="00A24F91">
            <w:pPr>
              <w:rPr>
                <w:rFonts w:ascii="Calibri" w:eastAsia="Times New Roman" w:hAnsi="Calibri" w:cs="Calibri"/>
                <w:sz w:val="17"/>
                <w:szCs w:val="17"/>
              </w:rPr>
            </w:pPr>
          </w:p>
        </w:tc>
      </w:tr>
    </w:tbl>
    <w:p w:rsidR="00A24F91" w:rsidRDefault="00FE7F1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PAKISTAN ONE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A24F91">
        <w:trPr>
          <w:tblCellSpacing w:w="15" w:type="dxa"/>
        </w:trPr>
        <w:tc>
          <w:tcPr>
            <w:tcW w:w="0" w:type="auto"/>
            <w:gridSpan w:val="2"/>
            <w:vAlign w:val="center"/>
            <w:hideMark/>
          </w:tcPr>
          <w:p w:rsidR="00A24F91" w:rsidRDefault="00FE7F1E">
            <w:pPr>
              <w:rPr>
                <w:rFonts w:eastAsia="Times New Roman"/>
              </w:rPr>
            </w:pPr>
            <w:r>
              <w:rPr>
                <w:rStyle w:val="bblue11"/>
                <w:rFonts w:eastAsia="Times New Roman"/>
              </w:rPr>
              <w:t>DEFINITIONS</w:t>
            </w:r>
          </w:p>
        </w:tc>
      </w:tr>
      <w:tr w:rsidR="00A24F91">
        <w:trPr>
          <w:tblCellSpacing w:w="15" w:type="dxa"/>
        </w:trPr>
        <w:tc>
          <w:tcPr>
            <w:tcW w:w="2500" w:type="pct"/>
            <w:tcMar>
              <w:top w:w="15" w:type="dxa"/>
              <w:left w:w="150" w:type="dxa"/>
              <w:bottom w:w="15" w:type="dxa"/>
              <w:right w:w="600" w:type="dxa"/>
            </w:tcMar>
            <w:hideMark/>
          </w:tcPr>
          <w:p w:rsidR="00A24F91" w:rsidRDefault="00FE7F1E">
            <w:pPr>
              <w:jc w:val="both"/>
              <w:divId w:val="131754058"/>
              <w:rPr>
                <w:rFonts w:ascii="Calibri" w:eastAsia="Times New Roman" w:hAnsi="Calibri" w:cs="Calibri"/>
                <w:sz w:val="20"/>
                <w:szCs w:val="20"/>
              </w:rPr>
            </w:pPr>
            <w:r>
              <w:rPr>
                <w:rFonts w:ascii="Calibri" w:eastAsia="Times New Roman" w:hAnsi="Calibri" w:cs="Calibri"/>
                <w:b/>
                <w:bCs/>
                <w:sz w:val="20"/>
                <w:szCs w:val="20"/>
              </w:rPr>
              <w:t>Allocation</w:t>
            </w:r>
          </w:p>
          <w:p w:rsidR="00A24F91" w:rsidRDefault="00FE7F1E">
            <w:pPr>
              <w:jc w:val="both"/>
              <w:divId w:val="176501713"/>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A24F91" w:rsidRDefault="00FE7F1E">
            <w:pPr>
              <w:jc w:val="both"/>
              <w:divId w:val="2126923880"/>
              <w:rPr>
                <w:rFonts w:ascii="Calibri" w:eastAsia="Times New Roman" w:hAnsi="Calibri" w:cs="Calibri"/>
                <w:sz w:val="20"/>
                <w:szCs w:val="20"/>
              </w:rPr>
            </w:pPr>
            <w:r>
              <w:rPr>
                <w:rFonts w:ascii="Calibri" w:eastAsia="Times New Roman" w:hAnsi="Calibri" w:cs="Calibri"/>
                <w:b/>
                <w:bCs/>
                <w:sz w:val="20"/>
                <w:szCs w:val="20"/>
              </w:rPr>
              <w:t>Approved Project/Programme</w:t>
            </w:r>
          </w:p>
          <w:p w:rsidR="00A24F91" w:rsidRDefault="00FE7F1E">
            <w:pPr>
              <w:jc w:val="both"/>
              <w:divId w:val="1273589748"/>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rsidR="00A24F91" w:rsidRDefault="00FE7F1E">
            <w:pPr>
              <w:jc w:val="both"/>
              <w:divId w:val="144854642"/>
              <w:rPr>
                <w:rFonts w:ascii="Calibri" w:eastAsia="Times New Roman" w:hAnsi="Calibri" w:cs="Calibri"/>
                <w:sz w:val="20"/>
                <w:szCs w:val="20"/>
              </w:rPr>
            </w:pPr>
            <w:r>
              <w:rPr>
                <w:rFonts w:ascii="Calibri" w:eastAsia="Times New Roman" w:hAnsi="Calibri" w:cs="Calibri"/>
                <w:b/>
                <w:bCs/>
                <w:sz w:val="20"/>
                <w:szCs w:val="20"/>
              </w:rPr>
              <w:t>Contributor Commitment</w:t>
            </w:r>
          </w:p>
          <w:p w:rsidR="00A24F91" w:rsidRDefault="00FE7F1E">
            <w:pPr>
              <w:jc w:val="both"/>
              <w:divId w:val="430664123"/>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rsidR="00A24F91" w:rsidRDefault="00FE7F1E">
            <w:pPr>
              <w:jc w:val="both"/>
              <w:divId w:val="1396121569"/>
              <w:rPr>
                <w:rFonts w:ascii="Calibri" w:eastAsia="Times New Roman" w:hAnsi="Calibri" w:cs="Calibri"/>
                <w:sz w:val="20"/>
                <w:szCs w:val="20"/>
              </w:rPr>
            </w:pPr>
            <w:r>
              <w:rPr>
                <w:rFonts w:ascii="Calibri" w:eastAsia="Times New Roman" w:hAnsi="Calibri" w:cs="Calibri"/>
                <w:b/>
                <w:bCs/>
                <w:sz w:val="20"/>
                <w:szCs w:val="20"/>
              </w:rPr>
              <w:t>Contributor Deposit</w:t>
            </w:r>
          </w:p>
          <w:p w:rsidR="00A24F91" w:rsidRDefault="00FE7F1E">
            <w:pPr>
              <w:jc w:val="both"/>
              <w:divId w:val="274752425"/>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rsidR="00A24F91" w:rsidRDefault="00FE7F1E">
            <w:pPr>
              <w:jc w:val="both"/>
              <w:divId w:val="1856070127"/>
              <w:rPr>
                <w:rFonts w:ascii="Calibri" w:eastAsia="Times New Roman" w:hAnsi="Calibri" w:cs="Calibri"/>
                <w:sz w:val="20"/>
                <w:szCs w:val="20"/>
              </w:rPr>
            </w:pPr>
            <w:r>
              <w:rPr>
                <w:rFonts w:ascii="Calibri" w:eastAsia="Times New Roman" w:hAnsi="Calibri" w:cs="Calibri"/>
                <w:b/>
                <w:bCs/>
                <w:sz w:val="20"/>
                <w:szCs w:val="20"/>
              </w:rPr>
              <w:t>Delivery Rate</w:t>
            </w:r>
          </w:p>
          <w:p w:rsidR="00A24F91" w:rsidRDefault="00FE7F1E">
            <w:pPr>
              <w:jc w:val="both"/>
              <w:divId w:val="1165514360"/>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A24F91" w:rsidRDefault="00FE7F1E">
            <w:pPr>
              <w:jc w:val="both"/>
              <w:divId w:val="1401059349"/>
              <w:rPr>
                <w:rFonts w:ascii="Calibri" w:eastAsia="Times New Roman" w:hAnsi="Calibri" w:cs="Calibri"/>
                <w:sz w:val="20"/>
                <w:szCs w:val="20"/>
              </w:rPr>
            </w:pPr>
            <w:r>
              <w:rPr>
                <w:rFonts w:ascii="Calibri" w:eastAsia="Times New Roman" w:hAnsi="Calibri" w:cs="Calibri"/>
                <w:b/>
                <w:bCs/>
                <w:sz w:val="20"/>
                <w:szCs w:val="20"/>
              </w:rPr>
              <w:t>Indirect Support Costs</w:t>
            </w:r>
          </w:p>
          <w:p w:rsidR="00A24F91" w:rsidRDefault="00FE7F1E">
            <w:pPr>
              <w:jc w:val="both"/>
              <w:divId w:val="1958679015"/>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A24F91" w:rsidRDefault="00FE7F1E">
            <w:pPr>
              <w:jc w:val="both"/>
              <w:divId w:val="1241863455"/>
              <w:rPr>
                <w:rFonts w:ascii="Calibri" w:eastAsia="Times New Roman" w:hAnsi="Calibri" w:cs="Calibri"/>
                <w:sz w:val="20"/>
                <w:szCs w:val="20"/>
              </w:rPr>
            </w:pPr>
            <w:r>
              <w:rPr>
                <w:rFonts w:ascii="Calibri" w:eastAsia="Times New Roman" w:hAnsi="Calibri" w:cs="Calibri"/>
                <w:b/>
                <w:bCs/>
                <w:sz w:val="20"/>
                <w:szCs w:val="20"/>
              </w:rPr>
              <w:t>Net Funded Amount</w:t>
            </w:r>
          </w:p>
          <w:p w:rsidR="00A24F91" w:rsidRDefault="00FE7F1E">
            <w:pPr>
              <w:jc w:val="both"/>
              <w:divId w:val="731395051"/>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rsidR="00A24F91" w:rsidRDefault="00FE7F1E">
            <w:pPr>
              <w:jc w:val="both"/>
              <w:divId w:val="1187789475"/>
              <w:rPr>
                <w:rFonts w:ascii="Calibri" w:eastAsia="Times New Roman" w:hAnsi="Calibri" w:cs="Calibri"/>
                <w:sz w:val="20"/>
                <w:szCs w:val="20"/>
              </w:rPr>
            </w:pPr>
            <w:r>
              <w:rPr>
                <w:rFonts w:ascii="Calibri" w:eastAsia="Times New Roman" w:hAnsi="Calibri" w:cs="Calibri"/>
                <w:b/>
                <w:bCs/>
                <w:sz w:val="20"/>
                <w:szCs w:val="20"/>
              </w:rPr>
              <w:t>Participating Organization</w:t>
            </w:r>
          </w:p>
          <w:p w:rsidR="00A24F91" w:rsidRDefault="00FE7F1E">
            <w:pPr>
              <w:jc w:val="both"/>
              <w:divId w:val="113988414"/>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rsidR="00A24F91" w:rsidRDefault="00FE7F1E">
            <w:pPr>
              <w:jc w:val="both"/>
              <w:divId w:val="101385982"/>
              <w:rPr>
                <w:rFonts w:ascii="Calibri" w:eastAsia="Times New Roman" w:hAnsi="Calibri" w:cs="Calibri"/>
                <w:sz w:val="20"/>
                <w:szCs w:val="20"/>
              </w:rPr>
            </w:pPr>
            <w:r>
              <w:rPr>
                <w:rFonts w:ascii="Calibri" w:eastAsia="Times New Roman" w:hAnsi="Calibri" w:cs="Calibri"/>
                <w:b/>
                <w:bCs/>
                <w:sz w:val="20"/>
                <w:szCs w:val="20"/>
              </w:rPr>
              <w:t>Project Expenditure</w:t>
            </w:r>
          </w:p>
          <w:p w:rsidR="00A24F91" w:rsidRDefault="00FE7F1E">
            <w:pPr>
              <w:jc w:val="both"/>
              <w:divId w:val="1273199345"/>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rsidR="00A24F91" w:rsidRDefault="00FE7F1E">
            <w:pPr>
              <w:jc w:val="both"/>
              <w:divId w:val="665519935"/>
              <w:rPr>
                <w:rFonts w:ascii="Calibri" w:eastAsia="Times New Roman" w:hAnsi="Calibri" w:cs="Calibri"/>
                <w:sz w:val="20"/>
                <w:szCs w:val="20"/>
              </w:rPr>
            </w:pPr>
            <w:r>
              <w:rPr>
                <w:rFonts w:ascii="Calibri" w:eastAsia="Times New Roman" w:hAnsi="Calibri" w:cs="Calibri"/>
                <w:b/>
                <w:bCs/>
                <w:sz w:val="20"/>
                <w:szCs w:val="20"/>
              </w:rPr>
              <w:t>Project Financial Closure</w:t>
            </w:r>
          </w:p>
          <w:p w:rsidR="00A24F91" w:rsidRDefault="00FE7F1E">
            <w:pPr>
              <w:jc w:val="both"/>
              <w:divId w:val="220094092"/>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rsidR="00A24F91" w:rsidRDefault="00FE7F1E">
            <w:pPr>
              <w:jc w:val="both"/>
              <w:divId w:val="1081218071"/>
              <w:rPr>
                <w:rFonts w:ascii="Calibri" w:eastAsia="Times New Roman" w:hAnsi="Calibri" w:cs="Calibri"/>
                <w:sz w:val="20"/>
                <w:szCs w:val="20"/>
              </w:rPr>
            </w:pPr>
            <w:r>
              <w:rPr>
                <w:rFonts w:ascii="Calibri" w:eastAsia="Times New Roman" w:hAnsi="Calibri" w:cs="Calibri"/>
                <w:b/>
                <w:bCs/>
                <w:sz w:val="20"/>
                <w:szCs w:val="20"/>
              </w:rPr>
              <w:t>Project Operational Closure</w:t>
            </w:r>
          </w:p>
          <w:p w:rsidR="00A24F91" w:rsidRDefault="00FE7F1E">
            <w:pPr>
              <w:jc w:val="both"/>
              <w:divId w:val="1207790379"/>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A24F91" w:rsidRDefault="00FE7F1E">
            <w:pPr>
              <w:jc w:val="both"/>
              <w:divId w:val="1895504573"/>
              <w:rPr>
                <w:rFonts w:ascii="Calibri" w:eastAsia="Times New Roman" w:hAnsi="Calibri" w:cs="Calibri"/>
                <w:sz w:val="20"/>
                <w:szCs w:val="20"/>
              </w:rPr>
            </w:pPr>
            <w:r>
              <w:rPr>
                <w:rFonts w:ascii="Calibri" w:eastAsia="Times New Roman" w:hAnsi="Calibri" w:cs="Calibri"/>
                <w:b/>
                <w:bCs/>
                <w:sz w:val="20"/>
                <w:szCs w:val="20"/>
              </w:rPr>
              <w:t>Project Start Date</w:t>
            </w:r>
          </w:p>
          <w:p w:rsidR="00A24F91" w:rsidRDefault="00FE7F1E">
            <w:pPr>
              <w:jc w:val="both"/>
              <w:divId w:val="1501852027"/>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rsidR="00A24F91" w:rsidRDefault="00FE7F1E">
            <w:pPr>
              <w:jc w:val="both"/>
              <w:divId w:val="352803974"/>
              <w:rPr>
                <w:rFonts w:ascii="Calibri" w:eastAsia="Times New Roman" w:hAnsi="Calibri" w:cs="Calibri"/>
                <w:sz w:val="20"/>
                <w:szCs w:val="20"/>
              </w:rPr>
            </w:pPr>
            <w:r>
              <w:rPr>
                <w:rFonts w:ascii="Calibri" w:eastAsia="Times New Roman" w:hAnsi="Calibri" w:cs="Calibri"/>
                <w:b/>
                <w:bCs/>
                <w:sz w:val="20"/>
                <w:szCs w:val="20"/>
              </w:rPr>
              <w:t>Total Approved Budget</w:t>
            </w:r>
          </w:p>
          <w:p w:rsidR="00A24F91" w:rsidRDefault="00FE7F1E">
            <w:pPr>
              <w:jc w:val="both"/>
              <w:divId w:val="610940358"/>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A24F91" w:rsidRDefault="00FE7F1E">
            <w:pPr>
              <w:jc w:val="both"/>
              <w:divId w:val="1940868708"/>
              <w:rPr>
                <w:rFonts w:ascii="Calibri" w:eastAsia="Times New Roman" w:hAnsi="Calibri" w:cs="Calibri"/>
                <w:sz w:val="20"/>
                <w:szCs w:val="20"/>
              </w:rPr>
            </w:pPr>
            <w:r>
              <w:rPr>
                <w:rFonts w:ascii="Calibri" w:eastAsia="Times New Roman" w:hAnsi="Calibri" w:cs="Calibri"/>
                <w:b/>
                <w:bCs/>
                <w:sz w:val="20"/>
                <w:szCs w:val="20"/>
              </w:rPr>
              <w:t>US Dollar Amount</w:t>
            </w:r>
          </w:p>
          <w:p w:rsidR="00A24F91" w:rsidRDefault="00FE7F1E">
            <w:pPr>
              <w:jc w:val="both"/>
              <w:divId w:val="1658416081"/>
              <w:rPr>
                <w:rFonts w:ascii="Calibri" w:eastAsia="Times New Roman" w:hAnsi="Calibri" w:cs="Calibri"/>
                <w:sz w:val="20"/>
                <w:szCs w:val="20"/>
              </w:rPr>
            </w:pPr>
            <w:r>
              <w:rPr>
                <w:rFonts w:ascii="Calibri" w:eastAsia="Times New Roman" w:hAnsi="Calibri" w:cs="Calibri"/>
                <w:sz w:val="20"/>
                <w:szCs w:val="20"/>
              </w:rPr>
              <w:t>The financial data in the report is recorded in US Dollars and due to rounding off of numbers, the totals may not add up.</w:t>
            </w:r>
          </w:p>
        </w:tc>
      </w:tr>
    </w:tbl>
    <w:p w:rsidR="00A24F91" w:rsidRDefault="00FE7F1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PAKISTAN ONE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028"/>
        <w:gridCol w:w="472"/>
      </w:tblGrid>
      <w:tr w:rsidR="00A24F91">
        <w:trPr>
          <w:tblCellSpacing w:w="15" w:type="dxa"/>
          <w:jc w:val="center"/>
        </w:trPr>
        <w:tc>
          <w:tcPr>
            <w:tcW w:w="0" w:type="auto"/>
            <w:gridSpan w:val="2"/>
            <w:vAlign w:val="center"/>
            <w:hideMark/>
          </w:tcPr>
          <w:p w:rsidR="00A24F91" w:rsidRDefault="00FE7F1E">
            <w:pPr>
              <w:divId w:val="481041706"/>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A24F9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A24F91" w:rsidRDefault="00FE7F1E">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A24F91" w:rsidRDefault="00FE7F1E">
            <w:pPr>
              <w:jc w:val="right"/>
              <w:rPr>
                <w:rFonts w:ascii="Calibri" w:eastAsia="Times New Roman" w:hAnsi="Calibri" w:cs="Calibri"/>
                <w:sz w:val="21"/>
                <w:szCs w:val="21"/>
              </w:rPr>
            </w:pPr>
            <w:r>
              <w:rPr>
                <w:rFonts w:ascii="Calibri" w:eastAsia="Times New Roman" w:hAnsi="Calibri" w:cs="Calibri"/>
                <w:sz w:val="21"/>
                <w:szCs w:val="21"/>
              </w:rPr>
              <w:t>1</w:t>
            </w:r>
          </w:p>
        </w:tc>
      </w:tr>
      <w:tr w:rsidR="00A24F9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A24F91" w:rsidRDefault="00FE7F1E">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A24F91" w:rsidRDefault="00FE7F1E">
            <w:pPr>
              <w:jc w:val="right"/>
              <w:rPr>
                <w:rFonts w:ascii="Calibri" w:eastAsia="Times New Roman" w:hAnsi="Calibri" w:cs="Calibri"/>
                <w:sz w:val="21"/>
                <w:szCs w:val="21"/>
              </w:rPr>
            </w:pPr>
            <w:r>
              <w:rPr>
                <w:rFonts w:ascii="Calibri" w:eastAsia="Times New Roman" w:hAnsi="Calibri" w:cs="Calibri"/>
                <w:sz w:val="21"/>
                <w:szCs w:val="21"/>
              </w:rPr>
              <w:t>2</w:t>
            </w:r>
          </w:p>
        </w:tc>
      </w:tr>
      <w:tr w:rsidR="00A24F9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A24F91" w:rsidRDefault="00FE7F1E">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A24F91" w:rsidRDefault="00FE7F1E">
            <w:pPr>
              <w:jc w:val="right"/>
              <w:rPr>
                <w:rFonts w:ascii="Calibri" w:eastAsia="Times New Roman" w:hAnsi="Calibri" w:cs="Calibri"/>
                <w:sz w:val="21"/>
                <w:szCs w:val="21"/>
              </w:rPr>
            </w:pPr>
            <w:r>
              <w:rPr>
                <w:rFonts w:ascii="Calibri" w:eastAsia="Times New Roman" w:hAnsi="Calibri" w:cs="Calibri"/>
                <w:sz w:val="21"/>
                <w:szCs w:val="21"/>
              </w:rPr>
              <w:t>3</w:t>
            </w:r>
          </w:p>
        </w:tc>
      </w:tr>
      <w:tr w:rsidR="00A24F9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A24F91" w:rsidRDefault="00FE7F1E">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A24F91" w:rsidRDefault="00133975">
            <w:pPr>
              <w:jc w:val="right"/>
              <w:rPr>
                <w:rFonts w:ascii="Calibri" w:eastAsia="Times New Roman" w:hAnsi="Calibri" w:cs="Calibri"/>
                <w:sz w:val="21"/>
                <w:szCs w:val="21"/>
              </w:rPr>
            </w:pPr>
            <w:r>
              <w:rPr>
                <w:rFonts w:ascii="Calibri" w:eastAsia="Times New Roman" w:hAnsi="Calibri" w:cs="Calibri"/>
                <w:sz w:val="21"/>
                <w:szCs w:val="21"/>
              </w:rPr>
              <w:t>4</w:t>
            </w:r>
          </w:p>
        </w:tc>
      </w:tr>
      <w:tr w:rsidR="00A24F9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A24F91" w:rsidRDefault="00FE7F1E">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A24F91" w:rsidRDefault="00133975">
            <w:pPr>
              <w:jc w:val="right"/>
              <w:rPr>
                <w:rFonts w:ascii="Calibri" w:eastAsia="Times New Roman" w:hAnsi="Calibri" w:cs="Calibri"/>
                <w:sz w:val="21"/>
                <w:szCs w:val="21"/>
              </w:rPr>
            </w:pPr>
            <w:r>
              <w:rPr>
                <w:rFonts w:ascii="Calibri" w:eastAsia="Times New Roman" w:hAnsi="Calibri" w:cs="Calibri"/>
                <w:sz w:val="21"/>
                <w:szCs w:val="21"/>
              </w:rPr>
              <w:t>5</w:t>
            </w:r>
          </w:p>
        </w:tc>
      </w:tr>
      <w:tr w:rsidR="00A24F9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A24F91" w:rsidRDefault="00FE7F1E">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A24F91" w:rsidRDefault="00133975">
            <w:pPr>
              <w:jc w:val="right"/>
              <w:rPr>
                <w:rFonts w:ascii="Calibri" w:eastAsia="Times New Roman" w:hAnsi="Calibri" w:cs="Calibri"/>
                <w:sz w:val="21"/>
                <w:szCs w:val="21"/>
              </w:rPr>
            </w:pPr>
            <w:r>
              <w:rPr>
                <w:rFonts w:ascii="Calibri" w:eastAsia="Times New Roman" w:hAnsi="Calibri" w:cs="Calibri"/>
                <w:sz w:val="21"/>
                <w:szCs w:val="21"/>
              </w:rPr>
              <w:t>6</w:t>
            </w:r>
          </w:p>
        </w:tc>
      </w:tr>
      <w:tr w:rsidR="00A24F9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A24F91" w:rsidRDefault="00FE7F1E">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A24F91" w:rsidRDefault="00133975">
            <w:pPr>
              <w:jc w:val="right"/>
              <w:rPr>
                <w:rFonts w:ascii="Calibri" w:eastAsia="Times New Roman" w:hAnsi="Calibri" w:cs="Calibri"/>
                <w:sz w:val="21"/>
                <w:szCs w:val="21"/>
              </w:rPr>
            </w:pPr>
            <w:r>
              <w:rPr>
                <w:rFonts w:ascii="Calibri" w:eastAsia="Times New Roman" w:hAnsi="Calibri" w:cs="Calibri"/>
                <w:sz w:val="21"/>
                <w:szCs w:val="21"/>
              </w:rPr>
              <w:t>10</w:t>
            </w:r>
          </w:p>
        </w:tc>
      </w:tr>
      <w:tr w:rsidR="00A24F9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A24F91" w:rsidRDefault="00FE7F1E">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A24F91" w:rsidRDefault="00133975">
            <w:pPr>
              <w:jc w:val="right"/>
              <w:rPr>
                <w:rFonts w:ascii="Calibri" w:eastAsia="Times New Roman" w:hAnsi="Calibri" w:cs="Calibri"/>
                <w:sz w:val="21"/>
                <w:szCs w:val="21"/>
              </w:rPr>
            </w:pPr>
            <w:r>
              <w:rPr>
                <w:rFonts w:ascii="Calibri" w:eastAsia="Times New Roman" w:hAnsi="Calibri" w:cs="Calibri"/>
                <w:sz w:val="21"/>
                <w:szCs w:val="21"/>
              </w:rPr>
              <w:t>10</w:t>
            </w:r>
          </w:p>
        </w:tc>
      </w:tr>
      <w:tr w:rsidR="00A24F91">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A24F91" w:rsidRDefault="00FE7F1E">
            <w:pPr>
              <w:rPr>
                <w:rFonts w:ascii="Calibri" w:eastAsia="Times New Roman" w:hAnsi="Calibri" w:cs="Calibri"/>
                <w:sz w:val="21"/>
                <w:szCs w:val="21"/>
              </w:rPr>
            </w:pPr>
            <w:r>
              <w:rPr>
                <w:rFonts w:ascii="Calibri" w:eastAsia="Times New Roman" w:hAnsi="Calibri" w:cs="Calibri"/>
                <w:sz w:val="21"/>
                <w:szCs w:val="21"/>
              </w:rPr>
              <w:t xml:space="preserve">8. Direct Cost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A24F91" w:rsidRDefault="00133975">
            <w:pPr>
              <w:jc w:val="right"/>
              <w:rPr>
                <w:rFonts w:ascii="Calibri" w:eastAsia="Times New Roman" w:hAnsi="Calibri" w:cs="Calibri"/>
                <w:sz w:val="21"/>
                <w:szCs w:val="21"/>
              </w:rPr>
            </w:pPr>
            <w:r>
              <w:rPr>
                <w:rFonts w:ascii="Calibri" w:eastAsia="Times New Roman" w:hAnsi="Calibri" w:cs="Calibri"/>
                <w:sz w:val="21"/>
                <w:szCs w:val="21"/>
              </w:rPr>
              <w:t>10</w:t>
            </w:r>
          </w:p>
        </w:tc>
      </w:tr>
    </w:tbl>
    <w:p w:rsidR="00133975" w:rsidRDefault="00133975">
      <w:pPr>
        <w:rPr>
          <w:rFonts w:ascii="Calibri" w:eastAsia="Times New Roman" w:hAnsi="Calibri" w:cs="Calibri"/>
          <w:sz w:val="21"/>
          <w:szCs w:val="21"/>
        </w:rPr>
        <w:sectPr w:rsidR="00133975">
          <w:pgSz w:w="12240" w:h="15840"/>
          <w:pgMar w:top="1440" w:right="1440" w:bottom="1440" w:left="1440" w:header="720" w:footer="720" w:gutter="0"/>
          <w:cols w:space="720"/>
          <w:docGrid w:linePitch="360"/>
        </w:sectPr>
      </w:pPr>
    </w:p>
    <w:p w:rsidR="00A24F91" w:rsidRDefault="00FE7F1E">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PAKISTAN ONE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24F91">
        <w:trPr>
          <w:tblCellSpacing w:w="0" w:type="dxa"/>
        </w:trPr>
        <w:tc>
          <w:tcPr>
            <w:tcW w:w="2500" w:type="pct"/>
            <w:tcMar>
              <w:top w:w="0" w:type="dxa"/>
              <w:left w:w="150" w:type="dxa"/>
              <w:bottom w:w="0" w:type="dxa"/>
              <w:right w:w="300" w:type="dxa"/>
            </w:tcMar>
            <w:hideMark/>
          </w:tcPr>
          <w:p w:rsidR="00A24F91" w:rsidRDefault="00FE7F1E">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rsidR="00A24F91" w:rsidRDefault="00FE7F1E">
            <w:pPr>
              <w:jc w:val="both"/>
              <w:divId w:val="1541935748"/>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Pakistan One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rsidR="00A24F91" w:rsidRDefault="00FE7F1E">
            <w:pPr>
              <w:jc w:val="both"/>
              <w:divId w:val="1524977524"/>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rsidR="00A24F91" w:rsidRDefault="00FE7F1E">
            <w:pPr>
              <w:jc w:val="both"/>
              <w:divId w:val="1122577670"/>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rsidR="00A24F91" w:rsidRDefault="00FE7F1E">
            <w:pPr>
              <w:jc w:val="both"/>
              <w:divId w:val="1339382585"/>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Pakistan One Fund</w:t>
            </w:r>
            <w:r>
              <w:rPr>
                <w:rFonts w:ascii="Calibri" w:eastAsia="Times New Roman" w:hAnsi="Calibri" w:cs="Calibri"/>
                <w:sz w:val="20"/>
                <w:szCs w:val="20"/>
              </w:rPr>
              <w:t>. It is posted on the MPTF Office GATEWAY (</w:t>
            </w:r>
            <w:hyperlink r:id="rId31" w:tgtFrame="_blank" w:history="1">
              <w:r>
                <w:rPr>
                  <w:rStyle w:val="Hyperlink"/>
                  <w:rFonts w:ascii="Calibri" w:eastAsia="Times New Roman" w:hAnsi="Calibri" w:cs="Calibri"/>
                  <w:sz w:val="20"/>
                  <w:szCs w:val="20"/>
                </w:rPr>
                <w:t>http://mptf.undp.org/factsheet/fund/PK100</w:t>
              </w:r>
            </w:hyperlink>
            <w:r>
              <w:rPr>
                <w:rFonts w:ascii="Calibri" w:eastAsia="Times New Roman" w:hAnsi="Calibri" w:cs="Calibri"/>
                <w:sz w:val="20"/>
                <w:szCs w:val="20"/>
              </w:rPr>
              <w:t>).</w:t>
            </w:r>
          </w:p>
          <w:p w:rsidR="00A24F91" w:rsidRDefault="00FE7F1E">
            <w:pPr>
              <w:jc w:val="both"/>
              <w:divId w:val="1249999398"/>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rsidR="00A24F91" w:rsidRDefault="00FE7F1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PAKISTAN ONE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24F91">
        <w:trPr>
          <w:tblCellSpacing w:w="0" w:type="dxa"/>
        </w:trPr>
        <w:tc>
          <w:tcPr>
            <w:tcW w:w="2500" w:type="pct"/>
            <w:tcMar>
              <w:top w:w="0" w:type="dxa"/>
              <w:left w:w="150" w:type="dxa"/>
              <w:bottom w:w="0" w:type="dxa"/>
              <w:right w:w="300" w:type="dxa"/>
            </w:tcMar>
            <w:hideMark/>
          </w:tcPr>
          <w:p w:rsidR="00A24F91" w:rsidRDefault="00FE7F1E">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A24F91" w:rsidRDefault="00FE7F1E">
            <w:pPr>
              <w:jc w:val="both"/>
              <w:divId w:val="1264679819"/>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Pakistan One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32" w:history="1">
              <w:r>
                <w:rPr>
                  <w:rStyle w:val="Hyperlink"/>
                  <w:rFonts w:ascii="Calibri" w:eastAsia="Times New Roman" w:hAnsi="Calibri" w:cs="Calibri"/>
                  <w:sz w:val="20"/>
                  <w:szCs w:val="20"/>
                </w:rPr>
                <w:t>http://mptf.undp.org/factsheet/fund/PK100</w:t>
              </w:r>
            </w:hyperlink>
            <w:r>
              <w:rPr>
                <w:rFonts w:ascii="Calibri" w:eastAsia="Times New Roman" w:hAnsi="Calibri" w:cs="Calibri"/>
                <w:sz w:val="20"/>
                <w:szCs w:val="20"/>
              </w:rPr>
              <w:t xml:space="preserve">. </w:t>
            </w:r>
          </w:p>
          <w:p w:rsidR="00A24F91" w:rsidRDefault="00FE7F1E">
            <w:pPr>
              <w:jc w:val="both"/>
              <w:divId w:val="847984290"/>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rsidR="00A24F91" w:rsidRDefault="00FE7F1E" w:rsidP="00CB12DE">
            <w:pPr>
              <w:ind w:left="720"/>
              <w:jc w:val="both"/>
              <w:divId w:val="197358150"/>
              <w:rPr>
                <w:rFonts w:ascii="Calibri" w:eastAsia="Times New Roman" w:hAnsi="Calibri" w:cs="Calibri"/>
                <w:sz w:val="20"/>
                <w:szCs w:val="20"/>
              </w:rPr>
            </w:pPr>
            <w:r>
              <w:rPr>
                <w:rFonts w:ascii="Calibri" w:eastAsia="Times New Roman" w:hAnsi="Calibri" w:cs="Calibri"/>
                <w:sz w:val="20"/>
                <w:szCs w:val="20"/>
              </w:rPr>
              <w:t xml:space="preserve">As of 31 December </w:t>
            </w:r>
            <w:r w:rsidRPr="00CB12DE">
              <w:rPr>
                <w:rFonts w:ascii="Calibri" w:eastAsia="Times New Roman" w:hAnsi="Calibri" w:cs="Calibri"/>
                <w:b/>
                <w:bCs/>
                <w:sz w:val="20"/>
                <w:szCs w:val="20"/>
              </w:rPr>
              <w:t>2019</w:t>
            </w:r>
            <w:r w:rsidRPr="00CB12DE">
              <w:rPr>
                <w:rFonts w:ascii="Calibri" w:eastAsia="Times New Roman" w:hAnsi="Calibri" w:cs="Calibri"/>
                <w:sz w:val="20"/>
                <w:szCs w:val="20"/>
              </w:rPr>
              <w:t xml:space="preserve">, </w:t>
            </w:r>
            <w:r w:rsidRPr="00CB12DE">
              <w:rPr>
                <w:rFonts w:ascii="Calibri" w:eastAsia="Times New Roman" w:hAnsi="Calibri" w:cs="Calibri"/>
                <w:b/>
                <w:bCs/>
                <w:sz w:val="20"/>
                <w:szCs w:val="20"/>
              </w:rPr>
              <w:t>8</w:t>
            </w:r>
            <w:r w:rsidRPr="00CB12DE">
              <w:rPr>
                <w:rFonts w:ascii="Calibri" w:eastAsia="Times New Roman" w:hAnsi="Calibri" w:cs="Calibri"/>
                <w:sz w:val="20"/>
                <w:szCs w:val="20"/>
              </w:rPr>
              <w:t xml:space="preserve"> contributors</w:t>
            </w:r>
            <w:r>
              <w:rPr>
                <w:rFonts w:ascii="Calibri" w:eastAsia="Times New Roman" w:hAnsi="Calibri" w:cs="Calibri"/>
                <w:sz w:val="20"/>
                <w:szCs w:val="20"/>
              </w:rPr>
              <w:t xml:space="preserve"> deposited US$ </w:t>
            </w:r>
            <w:r>
              <w:rPr>
                <w:rFonts w:ascii="Calibri" w:eastAsia="Times New Roman" w:hAnsi="Calibri" w:cs="Calibri"/>
                <w:b/>
                <w:bCs/>
                <w:sz w:val="20"/>
                <w:szCs w:val="20"/>
              </w:rPr>
              <w:t>87,042,980</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710,460</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rsidR="00A24F91" w:rsidRDefault="00FE7F1E">
            <w:pPr>
              <w:jc w:val="both"/>
              <w:divId w:val="172963047"/>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87,753,440</w:t>
            </w:r>
            <w:r>
              <w:rPr>
                <w:rFonts w:ascii="Calibri" w:eastAsia="Times New Roman" w:hAnsi="Calibri" w:cs="Calibri"/>
                <w:sz w:val="20"/>
                <w:szCs w:val="20"/>
              </w:rPr>
              <w:t xml:space="preserve"> </w:t>
            </w:r>
          </w:p>
          <w:p w:rsidR="00A24F91" w:rsidRDefault="00FE7F1E">
            <w:pPr>
              <w:jc w:val="both"/>
              <w:divId w:val="551428814"/>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84,911,715</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16</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84,910,197</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870,430</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Pakistan One Fund</w:t>
            </w:r>
            <w:r>
              <w:rPr>
                <w:rFonts w:ascii="Calibri" w:eastAsia="Times New Roman" w:hAnsi="Calibri" w:cs="Calibri"/>
                <w:sz w:val="20"/>
                <w:szCs w:val="20"/>
              </w:rPr>
              <w:t xml:space="preserve"> as of 31 December 2019. </w:t>
            </w:r>
          </w:p>
        </w:tc>
      </w:tr>
    </w:tbl>
    <w:p w:rsidR="00A24F91" w:rsidRDefault="00FE7F1E">
      <w:pPr>
        <w:divId w:val="901595632"/>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87,042,980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32,612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45,462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461,645</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4,738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248,815</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33,950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50,200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87,753,440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87,935,988</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(82,609)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(110,671)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(3,374,273)</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(82,609)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(110,671)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84,561,715</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870,430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350,000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1,506</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(82,519)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(110,624)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85,783,650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116,469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160,824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1,969,790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1,692,496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1,808,965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1,808,965</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1,969,790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1,969,790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(82,609)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(110,671)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84,911,715</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1,434,770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(5,018)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84,910,197</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1,518</w:t>
            </w:r>
          </w:p>
        </w:tc>
      </w:tr>
    </w:tbl>
    <w:p w:rsidR="00A24F91" w:rsidRDefault="00FE7F1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PAKISTAN ONE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24F91">
        <w:trPr>
          <w:tblCellSpacing w:w="0" w:type="dxa"/>
        </w:trPr>
        <w:tc>
          <w:tcPr>
            <w:tcW w:w="2500" w:type="pct"/>
            <w:tcMar>
              <w:top w:w="0" w:type="dxa"/>
              <w:left w:w="150" w:type="dxa"/>
              <w:bottom w:w="0" w:type="dxa"/>
              <w:right w:w="300" w:type="dxa"/>
            </w:tcMar>
            <w:hideMark/>
          </w:tcPr>
          <w:p w:rsidR="00A24F91" w:rsidRDefault="00FE7F1E">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rsidR="00A24F91" w:rsidRDefault="00FE7F1E">
            <w:pPr>
              <w:jc w:val="both"/>
              <w:divId w:val="1039862704"/>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rsidR="00A24F91" w:rsidRDefault="00FE7F1E">
            <w:pPr>
              <w:jc w:val="both"/>
              <w:divId w:val="1744985351"/>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Pakistan One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8</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rsidR="00A24F91" w:rsidRDefault="00FE7F1E">
            <w:pPr>
              <w:jc w:val="both"/>
              <w:divId w:val="2103529410"/>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r>
    </w:tbl>
    <w:p w:rsidR="00A24F91" w:rsidRDefault="00FE7F1E">
      <w:pPr>
        <w:divId w:val="1772433030"/>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514"/>
        <w:gridCol w:w="1467"/>
        <w:gridCol w:w="1773"/>
        <w:gridCol w:w="1498"/>
        <w:gridCol w:w="1092"/>
      </w:tblGrid>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Australian Agency for Int'l Development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12,376,080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12,376,080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12,376,080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Delivering Results Together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3,725,082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3,725,082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3,725,082</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DEPARTMENT FOR INT'L DEVELOPMENT (DFID)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3,238,118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3,238,118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3,238,118</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Expanded DaO Funding Window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23,981,000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23,981,000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23,981,000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NETHERLANDS,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7,811,680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7,811,680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7,811,680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NORWAY,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22,951,020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22,951,020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22,951,020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SPAIN,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12,000,000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SWISS AGY FOR DEVELOPMENT &amp; COOPERATION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960,000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960,000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960,000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87,042,980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87,042,980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87,042,980</w:t>
            </w:r>
          </w:p>
        </w:tc>
      </w:tr>
    </w:tbl>
    <w:p w:rsidR="00A24F91" w:rsidRDefault="00FE7F1E">
      <w:pPr>
        <w:jc w:val="center"/>
        <w:divId w:val="506290356"/>
        <w:rPr>
          <w:rFonts w:ascii="Calibri" w:eastAsia="Times New Roman" w:hAnsi="Calibri" w:cs="Calibri"/>
          <w:sz w:val="20"/>
          <w:szCs w:val="20"/>
        </w:rPr>
      </w:pPr>
      <w:r>
        <w:rPr>
          <w:rFonts w:ascii="Calibri" w:eastAsia="Times New Roman" w:hAnsi="Calibri" w:cs="Calibri"/>
          <w:b/>
          <w:bCs/>
          <w:color w:val="0082BF"/>
          <w:sz w:val="21"/>
          <w:szCs w:val="21"/>
        </w:rPr>
        <w:t>Figure 1: Deposits by contributor, cumulative as of 31 December 2019</w:t>
      </w:r>
    </w:p>
    <w:p w:rsidR="00A24F91" w:rsidRDefault="00FE7F1E">
      <w:pPr>
        <w:jc w:val="center"/>
        <w:rPr>
          <w:rFonts w:eastAsia="Times New Roman"/>
        </w:rPr>
      </w:pPr>
      <w:r>
        <w:rPr>
          <w:rFonts w:eastAsia="Times New Roman"/>
          <w:noProof/>
        </w:rPr>
        <w:drawing>
          <wp:inline distT="0" distB="0" distL="0" distR="0">
            <wp:extent cx="4762500" cy="3619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4762500" cy="3619500"/>
                    </a:xfrm>
                    <a:prstGeom prst="rect">
                      <a:avLst/>
                    </a:prstGeom>
                    <a:noFill/>
                    <a:ln>
                      <a:noFill/>
                    </a:ln>
                  </pic:spPr>
                </pic:pic>
              </a:graphicData>
            </a:graphic>
          </wp:inline>
        </w:drawing>
      </w:r>
    </w:p>
    <w:p w:rsidR="00A24F91" w:rsidRDefault="00FE7F1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PAKISTAN ONE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24F91">
        <w:trPr>
          <w:tblCellSpacing w:w="0" w:type="dxa"/>
        </w:trPr>
        <w:tc>
          <w:tcPr>
            <w:tcW w:w="2500" w:type="pct"/>
            <w:tcMar>
              <w:top w:w="0" w:type="dxa"/>
              <w:left w:w="150" w:type="dxa"/>
              <w:bottom w:w="0" w:type="dxa"/>
              <w:right w:w="300" w:type="dxa"/>
            </w:tcMar>
            <w:hideMark/>
          </w:tcPr>
          <w:p w:rsidR="00A24F91" w:rsidRDefault="00FE7F1E">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rsidR="00A24F91" w:rsidRDefault="00FE7F1E">
            <w:pPr>
              <w:jc w:val="both"/>
              <w:divId w:val="704451720"/>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rsidR="00A24F91" w:rsidRDefault="00FE7F1E">
            <w:pPr>
              <w:jc w:val="both"/>
              <w:divId w:val="779254438"/>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461,645</w:t>
            </w:r>
            <w:r>
              <w:rPr>
                <w:rFonts w:ascii="Calibri" w:eastAsia="Times New Roman" w:hAnsi="Calibri" w:cs="Calibri"/>
                <w:sz w:val="20"/>
                <w:szCs w:val="20"/>
              </w:rPr>
              <w:t xml:space="preserve">. </w:t>
            </w:r>
          </w:p>
          <w:p w:rsidR="00A24F91" w:rsidRDefault="00FE7F1E">
            <w:pPr>
              <w:jc w:val="both"/>
              <w:divId w:val="1873152976"/>
              <w:rPr>
                <w:rFonts w:ascii="Calibri" w:eastAsia="Times New Roman" w:hAnsi="Calibri" w:cs="Calibri"/>
                <w:sz w:val="20"/>
                <w:szCs w:val="20"/>
              </w:rPr>
            </w:pPr>
            <w:r>
              <w:rPr>
                <w:rFonts w:ascii="Calibri" w:eastAsia="Times New Roman" w:hAnsi="Calibri" w:cs="Calibri"/>
                <w:sz w:val="20"/>
                <w:szCs w:val="20"/>
              </w:rPr>
              <w:t xml:space="preserve">Interest received from Participating Organizations amounts to US$ </w:t>
            </w:r>
            <w:r>
              <w:rPr>
                <w:rFonts w:ascii="Calibri" w:eastAsia="Times New Roman" w:hAnsi="Calibri" w:cs="Calibri"/>
                <w:b/>
                <w:bCs/>
                <w:sz w:val="20"/>
                <w:szCs w:val="20"/>
              </w:rPr>
              <w:t>248,815</w:t>
            </w:r>
            <w:r>
              <w:rPr>
                <w:rFonts w:ascii="Calibri" w:eastAsia="Times New Roman" w:hAnsi="Calibri" w:cs="Calibri"/>
                <w:sz w:val="20"/>
                <w:szCs w:val="20"/>
              </w:rPr>
              <w:t xml:space="preserve">, bringing the cumulative interest received to US$ </w:t>
            </w:r>
            <w:r>
              <w:rPr>
                <w:rFonts w:ascii="Calibri" w:eastAsia="Times New Roman" w:hAnsi="Calibri" w:cs="Calibri"/>
                <w:b/>
                <w:bCs/>
                <w:sz w:val="20"/>
                <w:szCs w:val="20"/>
              </w:rPr>
              <w:t>710,460</w:t>
            </w:r>
            <w:r>
              <w:rPr>
                <w:rFonts w:ascii="Calibri" w:eastAsia="Times New Roman" w:hAnsi="Calibri" w:cs="Calibri"/>
                <w:sz w:val="20"/>
                <w:szCs w:val="20"/>
              </w:rPr>
              <w:t xml:space="preserve">. </w:t>
            </w:r>
          </w:p>
          <w:p w:rsidR="00A24F91" w:rsidRDefault="00FE7F1E">
            <w:pPr>
              <w:jc w:val="both"/>
              <w:divId w:val="981302468"/>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rsidR="00A24F91" w:rsidRDefault="00FE7F1E">
      <w:pPr>
        <w:divId w:val="198662670"/>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698"/>
        <w:gridCol w:w="2082"/>
        <w:gridCol w:w="1600"/>
        <w:gridCol w:w="964"/>
      </w:tblGrid>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 </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416,183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45,462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461,645</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416,183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45,462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461,645</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 </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2,837</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171,437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171,437</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24,460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24,460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11,627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11,627</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27,943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4,738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32,681</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5,772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5,772</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244,077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4,738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248,815</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660,260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50,200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710,460</w:t>
            </w:r>
          </w:p>
        </w:tc>
      </w:tr>
    </w:tbl>
    <w:p w:rsidR="00A24F91" w:rsidRDefault="00FE7F1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PAKISTAN ONE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24F91">
        <w:trPr>
          <w:tblCellSpacing w:w="0" w:type="dxa"/>
        </w:trPr>
        <w:tc>
          <w:tcPr>
            <w:tcW w:w="2500" w:type="pct"/>
            <w:tcMar>
              <w:top w:w="0" w:type="dxa"/>
              <w:left w:w="150" w:type="dxa"/>
              <w:bottom w:w="0" w:type="dxa"/>
              <w:right w:w="300" w:type="dxa"/>
            </w:tcMar>
            <w:hideMark/>
          </w:tcPr>
          <w:p w:rsidR="00A24F91" w:rsidRDefault="00FE7F1E">
            <w:pPr>
              <w:jc w:val="both"/>
              <w:divId w:val="666246126"/>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rsidR="00A24F91" w:rsidRDefault="00FE7F1E">
            <w:pPr>
              <w:jc w:val="both"/>
              <w:divId w:val="282734249"/>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87,935,988</w:t>
            </w:r>
            <w:r>
              <w:rPr>
                <w:rFonts w:ascii="Calibri" w:eastAsia="Times New Roman" w:hAnsi="Calibri" w:cs="Calibri"/>
                <w:sz w:val="20"/>
                <w:szCs w:val="20"/>
              </w:rPr>
              <w:t xml:space="preserve"> to </w:t>
            </w:r>
            <w:r>
              <w:rPr>
                <w:rFonts w:ascii="Calibri" w:eastAsia="Times New Roman" w:hAnsi="Calibri" w:cs="Calibri"/>
                <w:b/>
                <w:bCs/>
                <w:sz w:val="20"/>
                <w:szCs w:val="20"/>
              </w:rPr>
              <w:t>16</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rsidR="00A24F91" w:rsidRDefault="00FE7F1E">
            <w:pPr>
              <w:jc w:val="both"/>
              <w:divId w:val="384334374"/>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rsidR="00A24F91" w:rsidRDefault="00FE7F1E">
            <w:pPr>
              <w:jc w:val="both"/>
              <w:divId w:val="672807314"/>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rsidR="00A24F91" w:rsidRDefault="00FE7F1E">
      <w:pPr>
        <w:divId w:val="155416206"/>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11"/>
        <w:gridCol w:w="905"/>
        <w:gridCol w:w="926"/>
        <w:gridCol w:w="1004"/>
        <w:gridCol w:w="821"/>
        <w:gridCol w:w="736"/>
        <w:gridCol w:w="1004"/>
        <w:gridCol w:w="906"/>
        <w:gridCol w:w="927"/>
        <w:gridCol w:w="1004"/>
      </w:tblGrid>
      <w:tr w:rsidR="00A24F91">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A24F91">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A24F91" w:rsidRDefault="00A24F91">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2,873,471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(44,218)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2,829,253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2,873,471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(44,218)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2,829,253</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2,911,272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(62,986)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2,848,286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(16,742)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(16,742)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2,911,272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(79,728)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2,831,544</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619,800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619,800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619,800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619,800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UNAIDS</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658,419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(3,989)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654,430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658,419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(3,989)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654,430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13,775,586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(1,325,194)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12,450,392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(293)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(293)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13,775,586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(1,325,487)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12,450,099</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5,867,200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(170,839)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5,696,360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5,867,200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(170,839)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5,696,360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10,882,111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(328,526)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10,553,585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(486)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(486)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10,882,111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(329,012)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10,553,099</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UNHABITAT</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3,825,797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(16,604)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3,809,193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(9,562)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(9,562)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3,825,797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(26,166)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3,799,631</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UNHCR</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880,784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880,784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880,784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880,784</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23,607,131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(245,690)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23,361,441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(929)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(929)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23,607,131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(246,619)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23,360,512</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4,035,665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(316,415)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3,719,250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(14,027)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(14,027)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4,035,665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(330,443)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3,705,222</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252,133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252,133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252,133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252,133</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1,972,406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(314,054)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1,658,352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1,972,406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(314,054)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1,658,352</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2,255,950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(122,779)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2,133,171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2,255,950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(122,779)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2,133,171</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13,358,263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(312,307)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13,045,956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13,358,263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(312,307)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13,045,956</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87,935,988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(3,263,603)</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84,672,386</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(42,039)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(42,039)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87,935,988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(3,305,642)</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84,630,347</w:t>
            </w:r>
          </w:p>
        </w:tc>
      </w:tr>
    </w:tbl>
    <w:p w:rsidR="00A24F91" w:rsidRDefault="00A24F91">
      <w:pPr>
        <w:jc w:val="center"/>
        <w:rPr>
          <w:rFonts w:eastAsia="Times New Roman"/>
        </w:rPr>
      </w:pPr>
    </w:p>
    <w:p w:rsidR="00A24F91" w:rsidRDefault="00FE7F1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PAKISTAN ONE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24F91">
        <w:trPr>
          <w:tblCellSpacing w:w="0" w:type="dxa"/>
        </w:trPr>
        <w:tc>
          <w:tcPr>
            <w:tcW w:w="2500" w:type="pct"/>
            <w:tcMar>
              <w:top w:w="0" w:type="dxa"/>
              <w:left w:w="150" w:type="dxa"/>
              <w:bottom w:w="0" w:type="dxa"/>
              <w:right w:w="300" w:type="dxa"/>
            </w:tcMar>
            <w:hideMark/>
          </w:tcPr>
          <w:p w:rsidR="00A24F91" w:rsidRDefault="00FE7F1E">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rsidR="00A24F91" w:rsidRDefault="00FE7F1E">
            <w:pPr>
              <w:jc w:val="both"/>
              <w:divId w:val="863637822"/>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rsidR="00A24F91" w:rsidRDefault="00FE7F1E">
            <w:pPr>
              <w:jc w:val="both"/>
              <w:divId w:val="1630696884"/>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34" w:history="1">
              <w:r>
                <w:rPr>
                  <w:rStyle w:val="Hyperlink"/>
                  <w:rFonts w:ascii="Calibri" w:eastAsia="Times New Roman" w:hAnsi="Calibri" w:cs="Calibri"/>
                  <w:sz w:val="20"/>
                  <w:szCs w:val="20"/>
                </w:rPr>
                <w:t>http://mptf.undp.org/factsheet/fund/PK100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A24F91" w:rsidRDefault="00FE7F1E">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rsidR="00A24F91" w:rsidRDefault="00FE7F1E">
            <w:pPr>
              <w:jc w:val="both"/>
              <w:divId w:val="1937638398"/>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84,630,347</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84,628,828</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100</w:t>
            </w:r>
            <w:r>
              <w:rPr>
                <w:rFonts w:ascii="Calibri" w:eastAsia="Times New Roman" w:hAnsi="Calibri" w:cs="Calibri"/>
                <w:sz w:val="20"/>
                <w:szCs w:val="20"/>
              </w:rPr>
              <w:t xml:space="preserve"> percent. </w:t>
            </w:r>
          </w:p>
          <w:p w:rsidR="00A24F91" w:rsidRDefault="00A24F91">
            <w:pPr>
              <w:jc w:val="both"/>
              <w:divId w:val="2115633612"/>
              <w:rPr>
                <w:rFonts w:ascii="Calibri" w:eastAsia="Times New Roman" w:hAnsi="Calibri" w:cs="Calibri"/>
                <w:sz w:val="20"/>
                <w:szCs w:val="20"/>
              </w:rPr>
            </w:pPr>
          </w:p>
        </w:tc>
      </w:tr>
    </w:tbl>
    <w:p w:rsidR="00A24F91" w:rsidRDefault="00FE7F1E">
      <w:pPr>
        <w:divId w:val="551158537"/>
        <w:rPr>
          <w:rFonts w:ascii="Calibri" w:eastAsia="Times New Roman" w:hAnsi="Calibri" w:cs="Calibri"/>
          <w:sz w:val="20"/>
          <w:szCs w:val="20"/>
        </w:rPr>
      </w:pPr>
      <w:r w:rsidRPr="00CB12DE">
        <w:rPr>
          <w:rFonts w:ascii="Calibri" w:eastAsia="Times New Roman" w:hAnsi="Calibri" w:cs="Calibri"/>
          <w:b/>
          <w:bCs/>
          <w:color w:val="0082BF"/>
          <w:sz w:val="21"/>
          <w:szCs w:val="21"/>
        </w:rPr>
        <w:t>Table</w:t>
      </w:r>
      <w:r w:rsidR="00CB12DE" w:rsidRPr="00CB12DE">
        <w:rPr>
          <w:rFonts w:ascii="Calibri" w:eastAsia="Times New Roman" w:hAnsi="Calibri" w:cs="Calibri"/>
          <w:b/>
          <w:bCs/>
          <w:color w:val="0082BF"/>
          <w:sz w:val="21"/>
          <w:szCs w:val="21"/>
        </w:rPr>
        <w:t xml:space="preserve"> 5.1</w:t>
      </w:r>
      <w:r>
        <w:rPr>
          <w:rFonts w:ascii="Calibri" w:eastAsia="Times New Roman" w:hAnsi="Calibri" w:cs="Calibri"/>
          <w:b/>
          <w:bCs/>
          <w:color w:val="0082BF"/>
          <w:sz w:val="21"/>
          <w:szCs w:val="21"/>
        </w:rPr>
        <w:t>.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39"/>
        <w:gridCol w:w="1092"/>
        <w:gridCol w:w="1210"/>
        <w:gridCol w:w="1780"/>
        <w:gridCol w:w="1368"/>
        <w:gridCol w:w="1184"/>
        <w:gridCol w:w="1371"/>
      </w:tblGrid>
      <w:tr w:rsidR="00A24F91">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A24F91">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A24F91" w:rsidRDefault="00A24F91">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A24F91" w:rsidRDefault="00A24F91">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A24F91" w:rsidRDefault="00A24F91">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rsidR="00A24F91" w:rsidRDefault="00A24F91">
            <w:pPr>
              <w:rPr>
                <w:rFonts w:ascii="Calibri" w:eastAsia="Times New Roman" w:hAnsi="Calibri" w:cs="Calibri"/>
                <w:b/>
                <w:bCs/>
                <w:sz w:val="18"/>
                <w:szCs w:val="18"/>
              </w:rPr>
            </w:pP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2,873,474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2,829,253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2,829,253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2,829,253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2,911,272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2,831,544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2,826,086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5,458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2,831,544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619,800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619,800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619,800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619,800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UNAIDS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658,419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654,430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644,450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3,193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647,643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98.96</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13,775,588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12,450,099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12,450,114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12,450,114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5,867,200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5,696,360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5,696,360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5,696,360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10,882,125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10,553,099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10,553,099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10,553,099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UNHABITAT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3,825,797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3,799,631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3,806,920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(1,999)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3,804,921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100.14</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UNHCR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880,784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880,784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880,784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880,784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23,607,156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23,360,512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23,360,512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23,360,512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4,035,665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3,705,222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3,716,905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(11,683)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3,705,222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252,133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252,133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252,133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252,133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1,972,406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1,658,352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1,658,352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1,658,352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2,255,951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2,133,171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2,133,124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2,133,136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13,366,737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13,045,956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13,045,954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13,045,955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87,944,508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84,630,347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84,633,847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(5,018)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84,628,828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bl>
    <w:p w:rsidR="00A24F91" w:rsidRDefault="00FE7F1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PAKISTAN ONE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9360"/>
      </w:tblGrid>
      <w:tr w:rsidR="00A24F91">
        <w:trPr>
          <w:tblCellSpacing w:w="0" w:type="dxa"/>
        </w:trPr>
        <w:tc>
          <w:tcPr>
            <w:tcW w:w="5000" w:type="pct"/>
            <w:tcMar>
              <w:top w:w="0" w:type="dxa"/>
              <w:left w:w="150" w:type="dxa"/>
              <w:bottom w:w="0" w:type="dxa"/>
              <w:right w:w="300" w:type="dxa"/>
            </w:tcMar>
            <w:hideMark/>
          </w:tcPr>
          <w:p w:rsidR="00A24F91" w:rsidRDefault="00FE7F1E">
            <w:pPr>
              <w:rPr>
                <w:rFonts w:eastAsia="Times New Roman"/>
              </w:rPr>
            </w:pPr>
            <w:r>
              <w:rPr>
                <w:rFonts w:ascii="Calibri" w:eastAsia="Times New Roman" w:hAnsi="Calibri" w:cs="Calibri"/>
                <w:b/>
                <w:bCs/>
                <w:color w:val="0082BF"/>
                <w:sz w:val="21"/>
                <w:szCs w:val="21"/>
              </w:rPr>
              <w:t xml:space="preserve">5.2 EXPENDITURE BY UNDAF OUTCOME </w:t>
            </w:r>
          </w:p>
          <w:p w:rsidR="00A24F91" w:rsidRDefault="00FE7F1E">
            <w:pPr>
              <w:divId w:val="94330258"/>
              <w:rPr>
                <w:rFonts w:ascii="Calibri" w:eastAsia="Times New Roman" w:hAnsi="Calibri" w:cs="Calibri"/>
                <w:sz w:val="20"/>
                <w:szCs w:val="20"/>
              </w:rPr>
            </w:pPr>
            <w:r>
              <w:rPr>
                <w:rFonts w:ascii="Calibri" w:eastAsia="Times New Roman" w:hAnsi="Calibri" w:cs="Calibri"/>
                <w:sz w:val="20"/>
                <w:szCs w:val="20"/>
              </w:rPr>
              <w:t>Table 5</w:t>
            </w:r>
            <w:r w:rsidR="00CB12DE">
              <w:rPr>
                <w:rFonts w:ascii="Calibri" w:eastAsia="Times New Roman" w:hAnsi="Calibri" w:cs="Calibri"/>
                <w:sz w:val="20"/>
                <w:szCs w:val="20"/>
              </w:rPr>
              <w:t>.2</w:t>
            </w:r>
            <w:r>
              <w:rPr>
                <w:rFonts w:ascii="Calibri" w:eastAsia="Times New Roman" w:hAnsi="Calibri" w:cs="Calibri"/>
                <w:sz w:val="20"/>
                <w:szCs w:val="20"/>
              </w:rPr>
              <w:t xml:space="preserve"> displays the net funded amounts, expenditures incurred and the financial delivery rates by</w:t>
            </w:r>
            <w:r w:rsidR="00CB12DE">
              <w:rPr>
                <w:rFonts w:ascii="Calibri" w:eastAsia="Times New Roman" w:hAnsi="Calibri" w:cs="Calibri"/>
                <w:sz w:val="20"/>
                <w:szCs w:val="20"/>
              </w:rPr>
              <w:t xml:space="preserve"> </w:t>
            </w:r>
            <w:r>
              <w:rPr>
                <w:rFonts w:ascii="Calibri" w:eastAsia="Times New Roman" w:hAnsi="Calibri" w:cs="Calibri"/>
                <w:sz w:val="20"/>
                <w:szCs w:val="20"/>
              </w:rPr>
              <w:t xml:space="preserve">UNDAF Outcome </w:t>
            </w:r>
          </w:p>
        </w:tc>
      </w:tr>
    </w:tbl>
    <w:p w:rsidR="00A24F91" w:rsidRDefault="00FE7F1E">
      <w:pPr>
        <w:divId w:val="1916162080"/>
        <w:rPr>
          <w:rFonts w:ascii="Calibri" w:eastAsia="Times New Roman" w:hAnsi="Calibri" w:cs="Calibri"/>
          <w:sz w:val="20"/>
          <w:szCs w:val="20"/>
        </w:rPr>
      </w:pPr>
      <w:r>
        <w:rPr>
          <w:rFonts w:ascii="Calibri" w:eastAsia="Times New Roman" w:hAnsi="Calibri" w:cs="Calibri"/>
          <w:b/>
          <w:bCs/>
          <w:color w:val="0082BF"/>
          <w:sz w:val="21"/>
          <w:szCs w:val="21"/>
        </w:rPr>
        <w:t>Table 5.</w:t>
      </w:r>
      <w:r w:rsidR="00133975">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UNDAF Outcome,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264"/>
        <w:gridCol w:w="977"/>
        <w:gridCol w:w="1014"/>
        <w:gridCol w:w="977"/>
        <w:gridCol w:w="1014"/>
        <w:gridCol w:w="977"/>
        <w:gridCol w:w="1014"/>
        <w:gridCol w:w="1107"/>
      </w:tblGrid>
      <w:tr w:rsidR="00A24F91">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Country/Sector</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 xml:space="preserve">Prior Years </w:t>
            </w:r>
            <w:r>
              <w:rPr>
                <w:rFonts w:ascii="Calibri" w:eastAsia="Times New Roman" w:hAnsi="Calibri" w:cs="Calibri"/>
                <w:b/>
                <w:bCs/>
                <w:sz w:val="18"/>
                <w:szCs w:val="18"/>
              </w:rPr>
              <w:br/>
              <w:t>as of 31-Dec-2018</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 xml:space="preserve">Current Year </w:t>
            </w:r>
            <w:r>
              <w:rPr>
                <w:rFonts w:ascii="Calibri" w:eastAsia="Times New Roman" w:hAnsi="Calibri" w:cs="Calibri"/>
                <w:b/>
                <w:bCs/>
                <w:sz w:val="18"/>
                <w:szCs w:val="18"/>
              </w:rPr>
              <w:br/>
              <w:t>Jan-Dec-2019</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val="restart"/>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 xml:space="preserve">Delivery Rate </w:t>
            </w:r>
            <w:r>
              <w:rPr>
                <w:rFonts w:ascii="Calibri" w:eastAsia="Times New Roman" w:hAnsi="Calibri" w:cs="Calibri"/>
                <w:b/>
                <w:bCs/>
                <w:sz w:val="18"/>
                <w:szCs w:val="18"/>
              </w:rPr>
              <w:br/>
              <w:t>%</w:t>
            </w:r>
          </w:p>
        </w:tc>
      </w:tr>
      <w:tr w:rsidR="00A24F91">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A24F91" w:rsidRDefault="00A24F91">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tcBorders>
              <w:top w:val="single" w:sz="6" w:space="0" w:color="C0C0C0"/>
              <w:left w:val="nil"/>
              <w:bottom w:val="nil"/>
              <w:right w:val="single" w:sz="6" w:space="0" w:color="C0C0C0"/>
            </w:tcBorders>
            <w:vAlign w:val="center"/>
            <w:hideMark/>
          </w:tcPr>
          <w:p w:rsidR="00A24F91" w:rsidRDefault="00A24F91">
            <w:pPr>
              <w:rPr>
                <w:rFonts w:ascii="Calibri" w:eastAsia="Times New Roman" w:hAnsi="Calibri" w:cs="Calibri"/>
                <w:b/>
                <w:bCs/>
                <w:sz w:val="18"/>
                <w:szCs w:val="18"/>
              </w:rPr>
            </w:pPr>
          </w:p>
        </w:tc>
      </w:tr>
      <w:tr w:rsidR="00A24F91">
        <w:trPr>
          <w:tblCellSpacing w:w="0" w:type="dxa"/>
        </w:trPr>
        <w:tc>
          <w:tcPr>
            <w:tcW w:w="0" w:type="auto"/>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b/>
                <w:bCs/>
                <w:sz w:val="17"/>
                <w:szCs w:val="17"/>
              </w:rPr>
              <w:t>Pakistan</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Access to Safe W&amp;S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1,110,147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1,101,687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(8,460)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1,101,687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1,101,687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Adult Literacy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3,876,445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3,876,445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3,876,445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3,876,445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Agriculture &amp; Rural Dev.</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2,014,686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2,014,686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2,014,686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2,014,686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Comm. Disease Contr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517,849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517,849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517,849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517,849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Decent Employ. &amp; Poverty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1,769,394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1,769,394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1,769,394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1,769,394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Education Strengthening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972,170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972,170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972,170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972,170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Environmental Management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1,491,541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1,491,541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1,491,541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1,491,541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Gender Equality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11,694,967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11,694,967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11,694,967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11,694,967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Green Ind Waste Mng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804,027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804,027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804,027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804,027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Health Systems Dev.</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459,203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459,203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459,203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459,203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HIV &amp; AIDS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615,901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615,901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615,901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615,901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JP Disaster Risk Mangt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4,033,578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4,033,578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4,033,578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4,033,578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MDG Pro Poor Policy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1,216,738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1,216,738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1,216,738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1,216,738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MNCH &amp; FP/ RH</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2,901,695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2,901,695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2,901,695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2,901,695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Mob &amp; Prot Poor &amp; Vulnerable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2,025,612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2,025,612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2,025,612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2,025,612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Natural Res. Mangt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3,842,618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3,842,618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3,842,618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3,842,618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Norway PAK Part Initiative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22,470,441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22,478,901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8,460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22,478,901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22,478,901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Nutrition Health Pr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11,588,138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11,588,138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11,588,138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11,588,138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Population Census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2,326,115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2,326,115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2,326,115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2,326,115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Prel &amp; Elem Educatn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1,028,593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1,028,593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1,028,593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1,028,593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Sec Edu with TVE&amp;LS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1,938,899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1,938,899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1,938,899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1,938,899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SPA 1 Access to services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959,456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948,061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3,193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958,041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951,254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99.29</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SPA 2 Economic growth</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1,188,000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1,163,456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(30,770)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(6,225)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1,157,230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1,157,231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SPA 3 Resilience to disasters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1,129,726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1,127,139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(9,855)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(1,999)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1,119,871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1,125,140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100.47</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SPA 5 Gender &amp; social justice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281,240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281,240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281,240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281,240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SPA 6 Nutrition &amp; FoodSecurity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1,485,404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1,485,391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1,485,404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1,485,404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Sustainable Urbaniz</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929,804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929,804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929,804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929,804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100.00</w:t>
            </w:r>
          </w:p>
        </w:tc>
      </w:tr>
      <w:tr w:rsidR="00A24F91">
        <w:trPr>
          <w:tblCellSpacing w:w="0" w:type="dxa"/>
        </w:trPr>
        <w:tc>
          <w:tcPr>
            <w:tcW w:w="0" w:type="auto"/>
            <w:tcBorders>
              <w:top w:val="single" w:sz="6" w:space="0" w:color="C0C0C0"/>
              <w:left w:val="single" w:sz="6" w:space="0" w:color="C0C0C0"/>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Pakistan Total:</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84,672,386</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84,633,847</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(42,039)</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(5,018)</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84,630,347</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84,628,828</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A24F91">
        <w:trPr>
          <w:tblCellSpacing w:w="0" w:type="dxa"/>
        </w:trPr>
        <w:tc>
          <w:tcPr>
            <w:tcW w:w="0" w:type="auto"/>
            <w:gridSpan w:val="8"/>
            <w:tcMar>
              <w:top w:w="0" w:type="dxa"/>
              <w:left w:w="0" w:type="dxa"/>
              <w:bottom w:w="0" w:type="dxa"/>
              <w:right w:w="0" w:type="dxa"/>
            </w:tcMar>
            <w:vAlign w:val="center"/>
            <w:hideMark/>
          </w:tcPr>
          <w:p w:rsidR="00A24F91" w:rsidRDefault="00FE7F1E">
            <w:pPr>
              <w:rPr>
                <w:rFonts w:eastAsia="Times New Roman"/>
              </w:rPr>
            </w:pPr>
            <w:r>
              <w:rPr>
                <w:rFonts w:eastAsia="Times New Roman"/>
              </w:rPr>
              <w:t> </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84,672,386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84,633,847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(42,039)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(5,018)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84,630,347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84,628,828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bl>
    <w:p w:rsidR="00A24F91" w:rsidRDefault="00FE7F1E">
      <w:pPr>
        <w:jc w:val="center"/>
        <w:divId w:val="1896698584"/>
        <w:rPr>
          <w:rFonts w:ascii="Calibri" w:eastAsia="Times New Roman" w:hAnsi="Calibri" w:cs="Calibri"/>
          <w:sz w:val="20"/>
          <w:szCs w:val="20"/>
        </w:rPr>
      </w:pPr>
      <w:r>
        <w:rPr>
          <w:rFonts w:ascii="Calibri" w:eastAsia="Times New Roman" w:hAnsi="Calibri" w:cs="Calibri"/>
          <w:b/>
          <w:bCs/>
          <w:color w:val="0082BF"/>
          <w:sz w:val="21"/>
          <w:szCs w:val="21"/>
        </w:rPr>
        <w:lastRenderedPageBreak/>
        <w:t xml:space="preserve">Figure </w:t>
      </w:r>
      <w:r w:rsidR="00133975">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Cumulative Net Funded Amount and Expenditure with Breakdown by Sector</w:t>
      </w:r>
    </w:p>
    <w:p w:rsidR="00A24F91" w:rsidRDefault="00FE7F1E">
      <w:pPr>
        <w:jc w:val="center"/>
        <w:rPr>
          <w:rFonts w:eastAsia="Times New Roman"/>
        </w:rPr>
      </w:pPr>
      <w:r>
        <w:rPr>
          <w:rFonts w:eastAsia="Times New Roman"/>
          <w:noProof/>
        </w:rPr>
        <w:drawing>
          <wp:inline distT="0" distB="0" distL="0" distR="0">
            <wp:extent cx="4762500" cy="3048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4762500" cy="3048000"/>
                    </a:xfrm>
                    <a:prstGeom prst="rect">
                      <a:avLst/>
                    </a:prstGeom>
                    <a:noFill/>
                    <a:ln>
                      <a:noFill/>
                    </a:ln>
                  </pic:spPr>
                </pic:pic>
              </a:graphicData>
            </a:graphic>
          </wp:inline>
        </w:drawing>
      </w:r>
    </w:p>
    <w:p w:rsidR="00A24F91" w:rsidRDefault="00FE7F1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PAKISTAN ONE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A24F91" w:rsidRDefault="00FE7F1E">
      <w:pPr>
        <w:rPr>
          <w:rFonts w:eastAsia="Times New Roman"/>
        </w:rPr>
      </w:pPr>
      <w:r>
        <w:rPr>
          <w:rFonts w:ascii="Calibri" w:eastAsia="Times New Roman" w:hAnsi="Calibri" w:cs="Calibri"/>
          <w:b/>
          <w:bCs/>
          <w:color w:val="0082BF"/>
          <w:sz w:val="21"/>
          <w:szCs w:val="21"/>
        </w:rPr>
        <w:t>5.</w:t>
      </w:r>
      <w:r w:rsidR="00133975">
        <w:rPr>
          <w:rFonts w:ascii="Calibri" w:eastAsia="Times New Roman" w:hAnsi="Calibri" w:cs="Calibri"/>
          <w:b/>
          <w:bCs/>
          <w:color w:val="0082BF"/>
          <w:sz w:val="21"/>
          <w:szCs w:val="21"/>
        </w:rPr>
        <w:t>3</w:t>
      </w:r>
      <w:r>
        <w:rPr>
          <w:rFonts w:ascii="Calibri" w:eastAsia="Times New Roman" w:hAnsi="Calibri" w:cs="Calibri"/>
          <w:b/>
          <w:bCs/>
          <w:color w:val="0082BF"/>
          <w:sz w:val="21"/>
          <w:szCs w:val="21"/>
        </w:rPr>
        <w:t xml:space="preserve"> EXPENDITURE REPORTED BY CATEGORY</w:t>
      </w:r>
      <w:r>
        <w:rPr>
          <w:rFonts w:eastAsia="Times New Roman"/>
        </w:rPr>
        <w:t xml:space="preserve"> </w:t>
      </w:r>
    </w:p>
    <w:p w:rsidR="00A24F91" w:rsidRDefault="00FE7F1E">
      <w:pPr>
        <w:jc w:val="both"/>
        <w:divId w:val="1618176562"/>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In 2006 the UN Development Group (UNDG) established six categories against which UN entities must report inter-agency project expenditures. Effective 1 January 2012, the UN Chief Executive Board (CEB) modified these categories as a result of IPSAS adoption to comprise eight categories. All expenditure incurred prior to 1 January 2012 have been reported in the old categories; post 1 January 2012 all expenditure are reported in the new eight categories.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4777"/>
        <w:gridCol w:w="4583"/>
      </w:tblGrid>
      <w:tr w:rsidR="00A24F91">
        <w:trPr>
          <w:tblCellSpacing w:w="0" w:type="dxa"/>
          <w:jc w:val="center"/>
        </w:trPr>
        <w:tc>
          <w:tcPr>
            <w:tcW w:w="0" w:type="auto"/>
            <w:noWrap/>
            <w:tcMar>
              <w:top w:w="75" w:type="dxa"/>
              <w:left w:w="300" w:type="dxa"/>
              <w:bottom w:w="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b/>
                <w:bCs/>
                <w:sz w:val="20"/>
                <w:szCs w:val="20"/>
              </w:rPr>
              <w:t>2012 CEB Expense Categories</w:t>
            </w:r>
            <w:r>
              <w:rPr>
                <w:rFonts w:ascii="Calibri" w:eastAsia="Times New Roman" w:hAnsi="Calibri" w:cs="Calibri"/>
                <w:sz w:val="20"/>
                <w:szCs w:val="20"/>
              </w:rPr>
              <w:t xml:space="preserve"> </w:t>
            </w:r>
          </w:p>
          <w:p w:rsidR="00A24F91" w:rsidRDefault="00FE7F1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rsidR="00A24F91" w:rsidRDefault="00FE7F1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rsidR="00A24F91" w:rsidRDefault="00FE7F1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rsidR="00A24F91" w:rsidRDefault="00FE7F1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rsidR="00A24F91" w:rsidRDefault="00FE7F1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rsidR="00A24F91" w:rsidRDefault="00FE7F1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rsidR="00A24F91" w:rsidRDefault="00FE7F1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rsidR="00A24F91" w:rsidRDefault="00FE7F1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c>
          <w:tcPr>
            <w:tcW w:w="0" w:type="auto"/>
            <w:noWrap/>
            <w:tcMar>
              <w:top w:w="75" w:type="dxa"/>
              <w:left w:w="150" w:type="dxa"/>
              <w:bottom w:w="0" w:type="dxa"/>
              <w:right w:w="0" w:type="dxa"/>
            </w:tcMar>
            <w:hideMark/>
          </w:tcPr>
          <w:p w:rsidR="00A24F91" w:rsidRDefault="00FE7F1E">
            <w:pPr>
              <w:rPr>
                <w:rFonts w:ascii="Calibri" w:eastAsia="Times New Roman" w:hAnsi="Calibri" w:cs="Calibri"/>
                <w:sz w:val="20"/>
                <w:szCs w:val="20"/>
              </w:rPr>
            </w:pPr>
            <w:r>
              <w:rPr>
                <w:rFonts w:ascii="Calibri" w:eastAsia="Times New Roman" w:hAnsi="Calibri" w:cs="Calibri"/>
                <w:b/>
                <w:bCs/>
                <w:sz w:val="20"/>
                <w:szCs w:val="20"/>
              </w:rPr>
              <w:t>2006 UNDG Expense Categories</w:t>
            </w:r>
            <w:r>
              <w:rPr>
                <w:rFonts w:ascii="Calibri" w:eastAsia="Times New Roman" w:hAnsi="Calibri" w:cs="Calibri"/>
                <w:sz w:val="20"/>
                <w:szCs w:val="20"/>
              </w:rPr>
              <w:t xml:space="preserve"> </w:t>
            </w:r>
          </w:p>
          <w:p w:rsidR="00A24F91" w:rsidRDefault="00FE7F1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Supplies, commodities, equipment &amp; transport</w:t>
            </w:r>
          </w:p>
          <w:p w:rsidR="00A24F91" w:rsidRDefault="00FE7F1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Personnel</w:t>
            </w:r>
          </w:p>
          <w:p w:rsidR="00A24F91" w:rsidRDefault="00FE7F1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Training counterparts</w:t>
            </w:r>
          </w:p>
          <w:p w:rsidR="00A24F91" w:rsidRDefault="00FE7F1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Contracts</w:t>
            </w:r>
          </w:p>
          <w:p w:rsidR="00A24F91" w:rsidRDefault="00FE7F1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Other direct costs</w:t>
            </w:r>
          </w:p>
          <w:p w:rsidR="00A24F91" w:rsidRDefault="00FE7F1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Indirect costs</w:t>
            </w:r>
          </w:p>
        </w:tc>
      </w:tr>
    </w:tbl>
    <w:p w:rsidR="00A24F91" w:rsidRDefault="00FE7F1E">
      <w:pPr>
        <w:divId w:val="964702124"/>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133975">
        <w:rPr>
          <w:rFonts w:ascii="Calibri" w:eastAsia="Times New Roman" w:hAnsi="Calibri" w:cs="Calibri"/>
          <w:b/>
          <w:bCs/>
          <w:color w:val="0082BF"/>
          <w:sz w:val="21"/>
          <w:szCs w:val="21"/>
        </w:rPr>
        <w:t>5.3</w:t>
      </w:r>
      <w:r>
        <w:rPr>
          <w:rFonts w:ascii="Calibri" w:eastAsia="Times New Roman" w:hAnsi="Calibri" w:cs="Calibri"/>
          <w:b/>
          <w:bCs/>
          <w:color w:val="0082BF"/>
          <w:sz w:val="21"/>
          <w:szCs w:val="21"/>
        </w:rPr>
        <w:t xml:space="preserve">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158"/>
        <w:gridCol w:w="1523"/>
        <w:gridCol w:w="1170"/>
        <w:gridCol w:w="934"/>
        <w:gridCol w:w="1559"/>
      </w:tblGrid>
      <w:tr w:rsidR="00A24F91">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A24F91">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A24F91" w:rsidRDefault="00A24F91">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rsidR="00A24F91" w:rsidRDefault="00A24F91">
            <w:pPr>
              <w:rPr>
                <w:rFonts w:ascii="Calibri" w:eastAsia="Times New Roman" w:hAnsi="Calibri" w:cs="Calibri"/>
                <w:b/>
                <w:bCs/>
                <w:sz w:val="18"/>
                <w:szCs w:val="18"/>
              </w:rPr>
            </w:pP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Supplies, Commodities, Equipment and Transport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11,526,836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11,526,836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14.52</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Personnel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9,569,318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9,569,318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12.06</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Training of Counterparts(Old)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1,433,620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1,433,620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1.81</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Contracts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14,624,569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14,624,569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18.42</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Other direct costs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1,655,289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1,655,289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2.09</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Staff &amp; Personnel Cost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2,507,748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(1,798)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2,505,950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3.16</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Suppl</w:t>
            </w:r>
            <w:r w:rsidR="00CB12DE">
              <w:rPr>
                <w:rFonts w:ascii="Calibri" w:eastAsia="Times New Roman" w:hAnsi="Calibri" w:cs="Calibri"/>
                <w:sz w:val="17"/>
                <w:szCs w:val="17"/>
              </w:rPr>
              <w:t>ies</w:t>
            </w:r>
            <w:r>
              <w:rPr>
                <w:rFonts w:ascii="Calibri" w:eastAsia="Times New Roman" w:hAnsi="Calibri" w:cs="Calibri"/>
                <w:sz w:val="17"/>
                <w:szCs w:val="17"/>
              </w:rPr>
              <w:t>, Comm</w:t>
            </w:r>
            <w:r w:rsidR="00CB12DE">
              <w:rPr>
                <w:rFonts w:ascii="Calibri" w:eastAsia="Times New Roman" w:hAnsi="Calibri" w:cs="Calibri"/>
                <w:sz w:val="17"/>
                <w:szCs w:val="17"/>
              </w:rPr>
              <w:t>odities</w:t>
            </w:r>
            <w:r>
              <w:rPr>
                <w:rFonts w:ascii="Calibri" w:eastAsia="Times New Roman" w:hAnsi="Calibri" w:cs="Calibri"/>
                <w:sz w:val="17"/>
                <w:szCs w:val="17"/>
              </w:rPr>
              <w:t>, Materials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3,497,080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1,890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3,498,970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4.41</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Equip</w:t>
            </w:r>
            <w:r w:rsidR="00CB12DE">
              <w:rPr>
                <w:rFonts w:ascii="Calibri" w:eastAsia="Times New Roman" w:hAnsi="Calibri" w:cs="Calibri"/>
                <w:sz w:val="17"/>
                <w:szCs w:val="17"/>
              </w:rPr>
              <w:t>ment</w:t>
            </w:r>
            <w:r>
              <w:rPr>
                <w:rFonts w:ascii="Calibri" w:eastAsia="Times New Roman" w:hAnsi="Calibri" w:cs="Calibri"/>
                <w:sz w:val="17"/>
                <w:szCs w:val="17"/>
              </w:rPr>
              <w:t>, Veh</w:t>
            </w:r>
            <w:r w:rsidR="00CB12DE">
              <w:rPr>
                <w:rFonts w:ascii="Calibri" w:eastAsia="Times New Roman" w:hAnsi="Calibri" w:cs="Calibri"/>
                <w:sz w:val="17"/>
                <w:szCs w:val="17"/>
              </w:rPr>
              <w:t>icles</w:t>
            </w:r>
            <w:r>
              <w:rPr>
                <w:rFonts w:ascii="Calibri" w:eastAsia="Times New Roman" w:hAnsi="Calibri" w:cs="Calibri"/>
                <w:sz w:val="17"/>
                <w:szCs w:val="17"/>
              </w:rPr>
              <w:t>, Furn</w:t>
            </w:r>
            <w:r w:rsidR="00CB12DE">
              <w:rPr>
                <w:rFonts w:ascii="Calibri" w:eastAsia="Times New Roman" w:hAnsi="Calibri" w:cs="Calibri"/>
                <w:sz w:val="17"/>
                <w:szCs w:val="17"/>
              </w:rPr>
              <w:t>iture</w:t>
            </w:r>
            <w:r>
              <w:rPr>
                <w:rFonts w:ascii="Calibri" w:eastAsia="Times New Roman" w:hAnsi="Calibri" w:cs="Calibri"/>
                <w:sz w:val="17"/>
                <w:szCs w:val="17"/>
              </w:rPr>
              <w:t>, Dep</w:t>
            </w:r>
            <w:r w:rsidR="00CB12DE">
              <w:rPr>
                <w:rFonts w:ascii="Calibri" w:eastAsia="Times New Roman" w:hAnsi="Calibri" w:cs="Calibri"/>
                <w:sz w:val="17"/>
                <w:szCs w:val="17"/>
              </w:rPr>
              <w:t>reciatio</w:t>
            </w:r>
            <w:r>
              <w:rPr>
                <w:rFonts w:ascii="Calibri" w:eastAsia="Times New Roman" w:hAnsi="Calibri" w:cs="Calibri"/>
                <w:sz w:val="17"/>
                <w:szCs w:val="17"/>
              </w:rPr>
              <w:t>n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3,033,516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(12,812)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3,020,704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3.81</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Contractual Services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20,357,232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20,357,184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25.65</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Travel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1,480,115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3,742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1,483,857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1.87</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Transfers and Grants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5,691,273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2,346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5,693,619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7.17</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General Operating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4,005,693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1,992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4,007,685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5.05</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79,382,289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(4,689)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79,377,600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5,251,557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(329)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5,251,228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6.62</w:t>
            </w:r>
          </w:p>
        </w:tc>
      </w:tr>
      <w:tr w:rsidR="00A24F91">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A24F91" w:rsidRDefault="00FE7F1E">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84,633,847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(5,018)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84,628,828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A24F91" w:rsidRDefault="00A24F91">
            <w:pPr>
              <w:jc w:val="right"/>
              <w:rPr>
                <w:rFonts w:ascii="Calibri" w:eastAsia="Times New Roman" w:hAnsi="Calibri" w:cs="Calibri"/>
                <w:b/>
                <w:bCs/>
                <w:sz w:val="17"/>
                <w:szCs w:val="17"/>
              </w:rPr>
            </w:pPr>
          </w:p>
        </w:tc>
      </w:tr>
    </w:tbl>
    <w:p w:rsidR="00A24F91" w:rsidRDefault="00FE7F1E">
      <w:pPr>
        <w:divId w:val="674767285"/>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rsidR="00A24F91" w:rsidRDefault="00FE7F1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PAKISTAN ONE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215"/>
        <w:gridCol w:w="5145"/>
      </w:tblGrid>
      <w:tr w:rsidR="00A24F91">
        <w:trPr>
          <w:tblCellSpacing w:w="0" w:type="dxa"/>
        </w:trPr>
        <w:tc>
          <w:tcPr>
            <w:tcW w:w="2500" w:type="pct"/>
            <w:tcMar>
              <w:top w:w="0" w:type="dxa"/>
              <w:left w:w="150" w:type="dxa"/>
              <w:bottom w:w="0" w:type="dxa"/>
              <w:right w:w="300" w:type="dxa"/>
            </w:tcMar>
            <w:hideMark/>
          </w:tcPr>
          <w:p w:rsidR="00A24F91" w:rsidRDefault="00FE7F1E">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rsidR="00A24F91" w:rsidRDefault="00FE7F1E">
            <w:pPr>
              <w:jc w:val="both"/>
              <w:divId w:val="179319568"/>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rsidR="00A24F91" w:rsidRDefault="00FE7F1E">
            <w:pPr>
              <w:jc w:val="both"/>
              <w:divId w:val="1982418853"/>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rsidR="00A24F91" w:rsidRDefault="00FE7F1E">
            <w:pPr>
              <w:numPr>
                <w:ilvl w:val="0"/>
                <w:numId w:val="3"/>
              </w:numPr>
              <w:spacing w:before="150" w:after="100" w:afterAutospacing="1"/>
              <w:ind w:left="375"/>
              <w:jc w:val="both"/>
              <w:divId w:val="179319568"/>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w:t>
            </w:r>
            <w:bookmarkStart w:id="0" w:name="_GoBack"/>
            <w:bookmarkEnd w:id="0"/>
            <w:r>
              <w:rPr>
                <w:rFonts w:ascii="Calibri" w:eastAsia="Times New Roman" w:hAnsi="Calibri" w:cs="Calibri"/>
                <w:sz w:val="20"/>
                <w:szCs w:val="20"/>
              </w:rPr>
              <w:t xml:space="preserve">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870,430</w:t>
            </w:r>
            <w:r>
              <w:rPr>
                <w:rFonts w:ascii="Calibri" w:eastAsia="Times New Roman" w:hAnsi="Calibri" w:cs="Calibri"/>
                <w:sz w:val="20"/>
                <w:szCs w:val="20"/>
              </w:rPr>
              <w:t xml:space="preserve"> has been charged in AA-fees. </w:t>
            </w:r>
          </w:p>
          <w:p w:rsidR="00A24F91" w:rsidRDefault="00FE7F1E">
            <w:pPr>
              <w:numPr>
                <w:ilvl w:val="0"/>
                <w:numId w:val="3"/>
              </w:numPr>
              <w:spacing w:before="150" w:after="100" w:afterAutospacing="1"/>
              <w:ind w:left="375"/>
              <w:jc w:val="both"/>
              <w:divId w:val="179319568"/>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w:t>
            </w:r>
            <w:r w:rsidR="00CB12DE">
              <w:rPr>
                <w:rFonts w:ascii="Calibri" w:eastAsia="Times New Roman" w:hAnsi="Calibri" w:cs="Calibri"/>
                <w:sz w:val="20"/>
                <w:szCs w:val="20"/>
              </w:rPr>
              <w:t>.</w:t>
            </w:r>
            <w:r>
              <w:rPr>
                <w:rFonts w:ascii="Calibri" w:eastAsia="Times New Roman" w:hAnsi="Calibri" w:cs="Calibri"/>
                <w:sz w:val="20"/>
                <w:szCs w:val="20"/>
              </w:rPr>
              <w:t xml:space="preserve"> Cumulatively, indirect costs amount to US$ </w:t>
            </w:r>
            <w:r>
              <w:rPr>
                <w:rFonts w:ascii="Calibri" w:eastAsia="Times New Roman" w:hAnsi="Calibri" w:cs="Calibri"/>
                <w:b/>
                <w:bCs/>
                <w:sz w:val="20"/>
                <w:szCs w:val="20"/>
              </w:rPr>
              <w:t>5,251,228</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A24F91" w:rsidRDefault="00FE7F1E">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rsidR="00A24F91" w:rsidRDefault="00FE7F1E">
            <w:pPr>
              <w:jc w:val="both"/>
              <w:divId w:val="31344527"/>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36"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rsidR="00A24F91" w:rsidRDefault="00FE7F1E">
            <w:pPr>
              <w:jc w:val="both"/>
              <w:divId w:val="1507162982"/>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p w:rsidR="00A24F91" w:rsidRDefault="00FE7F1E">
            <w:pPr>
              <w:jc w:val="both"/>
              <w:divId w:val="789280747"/>
              <w:rPr>
                <w:rFonts w:ascii="Calibri" w:eastAsia="Times New Roman" w:hAnsi="Calibri" w:cs="Calibri"/>
                <w:sz w:val="20"/>
                <w:szCs w:val="20"/>
              </w:rPr>
            </w:pPr>
            <w:r>
              <w:rPr>
                <w:rFonts w:ascii="Calibri" w:eastAsia="Times New Roman" w:hAnsi="Calibri" w:cs="Calibri"/>
                <w:sz w:val="20"/>
                <w:szCs w:val="20"/>
              </w:rPr>
              <w:br/>
            </w:r>
            <w:r>
              <w:rPr>
                <w:rFonts w:ascii="Calibri" w:eastAsia="Times New Roman" w:hAnsi="Calibri" w:cs="Calibri"/>
                <w:b/>
                <w:bCs/>
                <w:color w:val="0082BF"/>
                <w:sz w:val="21"/>
                <w:szCs w:val="21"/>
              </w:rPr>
              <w:t>8. DIRECT COSTS</w:t>
            </w:r>
          </w:p>
          <w:p w:rsidR="00A24F91" w:rsidRDefault="00FE7F1E">
            <w:pPr>
              <w:jc w:val="both"/>
              <w:divId w:val="1937901145"/>
              <w:rPr>
                <w:rFonts w:ascii="Calibri" w:eastAsia="Times New Roman" w:hAnsi="Calibri" w:cs="Calibri"/>
                <w:sz w:val="20"/>
                <w:szCs w:val="20"/>
              </w:rPr>
            </w:pPr>
            <w:r>
              <w:rPr>
                <w:rFonts w:ascii="Calibri" w:eastAsia="Times New Roman" w:hAnsi="Calibri" w:cs="Calibri"/>
                <w:sz w:val="20"/>
                <w:szCs w:val="20"/>
              </w:rPr>
              <w:t xml:space="preserve">The Fund governance mechanism may approve an allocation to a Participating Organization to cover costs associated with Secretariat services and overall coordination, as well as Fund level reviews and evaluations. These allocations are referred to as 'direct costs'.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350,000</w:t>
            </w:r>
            <w:r>
              <w:rPr>
                <w:rFonts w:ascii="Calibri" w:eastAsia="Times New Roman" w:hAnsi="Calibri" w:cs="Calibri"/>
                <w:sz w:val="20"/>
                <w:szCs w:val="20"/>
              </w:rPr>
              <w:t xml:space="preserve"> has been charged as Direct Costs. </w:t>
            </w:r>
          </w:p>
          <w:p w:rsidR="00A24F91" w:rsidRDefault="00FE7F1E">
            <w:pPr>
              <w:jc w:val="both"/>
              <w:divId w:val="824127856"/>
              <w:rPr>
                <w:rFonts w:ascii="Calibri" w:eastAsia="Times New Roman" w:hAnsi="Calibri" w:cs="Calibri"/>
                <w:sz w:val="20"/>
                <w:szCs w:val="20"/>
              </w:rPr>
            </w:pPr>
            <w:r>
              <w:rPr>
                <w:rFonts w:ascii="Calibri" w:eastAsia="Times New Roman" w:hAnsi="Calibri" w:cs="Calibri"/>
                <w:b/>
                <w:bCs/>
                <w:color w:val="0082BF"/>
                <w:sz w:val="21"/>
                <w:szCs w:val="21"/>
              </w:rPr>
              <w:t>Table: Direct Costs</w:t>
            </w:r>
          </w:p>
          <w:tbl>
            <w:tblPr>
              <w:tblW w:w="4403" w:type="dxa"/>
              <w:jc w:val="center"/>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082"/>
              <w:gridCol w:w="1626"/>
              <w:gridCol w:w="1014"/>
              <w:gridCol w:w="1107"/>
            </w:tblGrid>
            <w:tr w:rsidR="00A24F91" w:rsidTr="00CB12DE">
              <w:trPr>
                <w:divId w:val="1264269422"/>
                <w:tblCellSpacing w:w="0" w:type="dxa"/>
                <w:jc w:val="center"/>
              </w:trPr>
              <w:tc>
                <w:tcPr>
                  <w:tcW w:w="538" w:type="dxa"/>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Participating Organization</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Net Funded 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A24F91" w:rsidRDefault="00FE7F1E">
                  <w:pPr>
                    <w:jc w:val="center"/>
                    <w:rPr>
                      <w:rFonts w:ascii="Calibri" w:eastAsia="Times New Roman" w:hAnsi="Calibri" w:cs="Calibri"/>
                      <w:b/>
                      <w:bCs/>
                      <w:sz w:val="18"/>
                      <w:szCs w:val="18"/>
                    </w:rPr>
                  </w:pPr>
                  <w:r>
                    <w:rPr>
                      <w:rFonts w:ascii="Calibri" w:eastAsia="Times New Roman" w:hAnsi="Calibri" w:cs="Calibri"/>
                      <w:b/>
                      <w:bCs/>
                      <w:sz w:val="18"/>
                      <w:szCs w:val="18"/>
                    </w:rPr>
                    <w:t>Delivery Rate</w:t>
                  </w:r>
                </w:p>
              </w:tc>
            </w:tr>
            <w:tr w:rsidR="00A24F91" w:rsidTr="00CB12DE">
              <w:trPr>
                <w:divId w:val="1264269422"/>
                <w:tblCellSpacing w:w="0" w:type="dxa"/>
                <w:jc w:val="center"/>
              </w:trPr>
              <w:tc>
                <w:tcPr>
                  <w:tcW w:w="538" w:type="dxa"/>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350,000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281,368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A24F91" w:rsidRDefault="00FE7F1E">
                  <w:pPr>
                    <w:jc w:val="right"/>
                    <w:rPr>
                      <w:rFonts w:ascii="Calibri" w:eastAsia="Times New Roman" w:hAnsi="Calibri" w:cs="Calibri"/>
                      <w:sz w:val="17"/>
                      <w:szCs w:val="17"/>
                    </w:rPr>
                  </w:pPr>
                  <w:r>
                    <w:rPr>
                      <w:rFonts w:ascii="Calibri" w:eastAsia="Times New Roman" w:hAnsi="Calibri" w:cs="Calibri"/>
                      <w:sz w:val="17"/>
                      <w:szCs w:val="17"/>
                    </w:rPr>
                    <w:t>80%</w:t>
                  </w:r>
                </w:p>
              </w:tc>
            </w:tr>
            <w:tr w:rsidR="00A24F91" w:rsidTr="00CB12DE">
              <w:trPr>
                <w:divId w:val="1264269422"/>
                <w:tblCellSpacing w:w="0" w:type="dxa"/>
                <w:jc w:val="center"/>
              </w:trPr>
              <w:tc>
                <w:tcPr>
                  <w:tcW w:w="538" w:type="dxa"/>
                  <w:tcBorders>
                    <w:top w:val="single" w:sz="6" w:space="0" w:color="C0C0C0"/>
                    <w:left w:val="single" w:sz="6" w:space="0" w:color="C0C0C0"/>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350,000</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281,368</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A24F91" w:rsidRDefault="00FE7F1E">
                  <w:pPr>
                    <w:jc w:val="right"/>
                    <w:rPr>
                      <w:rFonts w:ascii="Calibri" w:eastAsia="Times New Roman" w:hAnsi="Calibri" w:cs="Calibri"/>
                      <w:b/>
                      <w:bCs/>
                      <w:sz w:val="17"/>
                      <w:szCs w:val="17"/>
                    </w:rPr>
                  </w:pPr>
                  <w:r>
                    <w:rPr>
                      <w:rFonts w:ascii="Calibri" w:eastAsia="Times New Roman" w:hAnsi="Calibri" w:cs="Calibri"/>
                      <w:b/>
                      <w:bCs/>
                      <w:sz w:val="17"/>
                      <w:szCs w:val="17"/>
                    </w:rPr>
                    <w:t>80% </w:t>
                  </w:r>
                </w:p>
              </w:tc>
            </w:tr>
          </w:tbl>
          <w:p w:rsidR="00A24F91" w:rsidRDefault="00A24F91">
            <w:pPr>
              <w:jc w:val="center"/>
              <w:rPr>
                <w:rFonts w:ascii="Calibri" w:eastAsia="Times New Roman" w:hAnsi="Calibri" w:cs="Calibri"/>
                <w:sz w:val="20"/>
                <w:szCs w:val="20"/>
              </w:rPr>
            </w:pPr>
          </w:p>
        </w:tc>
      </w:tr>
    </w:tbl>
    <w:p w:rsidR="00FE7F1E" w:rsidRDefault="00FE7F1E">
      <w:pPr>
        <w:rPr>
          <w:rFonts w:eastAsia="Times New Roman"/>
        </w:rPr>
      </w:pPr>
    </w:p>
    <w:sectPr w:rsidR="00FE7F1E" w:rsidSect="00133975">
      <w:footerReference w:type="default" r:id="rId3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7F5" w:rsidRDefault="008A47F5" w:rsidP="00133975">
      <w:r>
        <w:separator/>
      </w:r>
    </w:p>
  </w:endnote>
  <w:endnote w:type="continuationSeparator" w:id="0">
    <w:p w:rsidR="008A47F5" w:rsidRDefault="008A47F5" w:rsidP="0013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423861"/>
      <w:docPartObj>
        <w:docPartGallery w:val="Page Numbers (Bottom of Page)"/>
        <w:docPartUnique/>
      </w:docPartObj>
    </w:sdtPr>
    <w:sdtEndPr>
      <w:rPr>
        <w:noProof/>
      </w:rPr>
    </w:sdtEndPr>
    <w:sdtContent>
      <w:p w:rsidR="00133975" w:rsidRDefault="001339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33975" w:rsidRDefault="00133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7F5" w:rsidRDefault="008A47F5" w:rsidP="00133975">
      <w:r>
        <w:separator/>
      </w:r>
    </w:p>
  </w:footnote>
  <w:footnote w:type="continuationSeparator" w:id="0">
    <w:p w:rsidR="008A47F5" w:rsidRDefault="008A47F5" w:rsidP="00133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456D"/>
    <w:multiLevelType w:val="multilevel"/>
    <w:tmpl w:val="48A2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844F8"/>
    <w:multiLevelType w:val="multilevel"/>
    <w:tmpl w:val="20AA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E30EC9"/>
    <w:multiLevelType w:val="multilevel"/>
    <w:tmpl w:val="E234A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4C"/>
    <w:rsid w:val="00065FCF"/>
    <w:rsid w:val="00133975"/>
    <w:rsid w:val="008A47F5"/>
    <w:rsid w:val="008A545A"/>
    <w:rsid w:val="00A24F91"/>
    <w:rsid w:val="00AE5D4C"/>
    <w:rsid w:val="00CB12DE"/>
    <w:rsid w:val="00F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Header">
    <w:name w:val="header"/>
    <w:basedOn w:val="Normal"/>
    <w:link w:val="HeaderChar"/>
    <w:uiPriority w:val="99"/>
    <w:unhideWhenUsed/>
    <w:rsid w:val="00133975"/>
    <w:pPr>
      <w:tabs>
        <w:tab w:val="center" w:pos="4680"/>
        <w:tab w:val="right" w:pos="9360"/>
      </w:tabs>
    </w:pPr>
  </w:style>
  <w:style w:type="character" w:customStyle="1" w:styleId="HeaderChar">
    <w:name w:val="Header Char"/>
    <w:basedOn w:val="DefaultParagraphFont"/>
    <w:link w:val="Header"/>
    <w:uiPriority w:val="99"/>
    <w:rsid w:val="00133975"/>
    <w:rPr>
      <w:rFonts w:eastAsiaTheme="minorEastAsia"/>
      <w:sz w:val="24"/>
      <w:szCs w:val="24"/>
    </w:rPr>
  </w:style>
  <w:style w:type="paragraph" w:styleId="Footer">
    <w:name w:val="footer"/>
    <w:basedOn w:val="Normal"/>
    <w:link w:val="FooterChar"/>
    <w:uiPriority w:val="99"/>
    <w:unhideWhenUsed/>
    <w:rsid w:val="00133975"/>
    <w:pPr>
      <w:tabs>
        <w:tab w:val="center" w:pos="4680"/>
        <w:tab w:val="right" w:pos="9360"/>
      </w:tabs>
    </w:pPr>
  </w:style>
  <w:style w:type="character" w:customStyle="1" w:styleId="FooterChar">
    <w:name w:val="Footer Char"/>
    <w:basedOn w:val="DefaultParagraphFont"/>
    <w:link w:val="Footer"/>
    <w:uiPriority w:val="99"/>
    <w:rsid w:val="0013397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4527">
      <w:marLeft w:val="0"/>
      <w:marRight w:val="0"/>
      <w:marTop w:val="225"/>
      <w:marBottom w:val="60"/>
      <w:divBdr>
        <w:top w:val="none" w:sz="0" w:space="0" w:color="auto"/>
        <w:left w:val="none" w:sz="0" w:space="0" w:color="auto"/>
        <w:bottom w:val="none" w:sz="0" w:space="0" w:color="auto"/>
        <w:right w:val="none" w:sz="0" w:space="0" w:color="auto"/>
      </w:divBdr>
    </w:div>
    <w:div w:id="94330258">
      <w:marLeft w:val="0"/>
      <w:marRight w:val="0"/>
      <w:marTop w:val="60"/>
      <w:marBottom w:val="60"/>
      <w:divBdr>
        <w:top w:val="none" w:sz="0" w:space="0" w:color="auto"/>
        <w:left w:val="none" w:sz="0" w:space="0" w:color="auto"/>
        <w:bottom w:val="none" w:sz="0" w:space="0" w:color="auto"/>
        <w:right w:val="none" w:sz="0" w:space="0" w:color="auto"/>
      </w:divBdr>
    </w:div>
    <w:div w:id="101385982">
      <w:marLeft w:val="0"/>
      <w:marRight w:val="0"/>
      <w:marTop w:val="225"/>
      <w:marBottom w:val="60"/>
      <w:divBdr>
        <w:top w:val="none" w:sz="0" w:space="0" w:color="auto"/>
        <w:left w:val="none" w:sz="0" w:space="0" w:color="auto"/>
        <w:bottom w:val="none" w:sz="0" w:space="0" w:color="auto"/>
        <w:right w:val="none" w:sz="0" w:space="0" w:color="auto"/>
      </w:divBdr>
    </w:div>
    <w:div w:id="113988414">
      <w:marLeft w:val="0"/>
      <w:marRight w:val="0"/>
      <w:marTop w:val="60"/>
      <w:marBottom w:val="60"/>
      <w:divBdr>
        <w:top w:val="none" w:sz="0" w:space="0" w:color="auto"/>
        <w:left w:val="none" w:sz="0" w:space="0" w:color="auto"/>
        <w:bottom w:val="none" w:sz="0" w:space="0" w:color="auto"/>
        <w:right w:val="none" w:sz="0" w:space="0" w:color="auto"/>
      </w:divBdr>
    </w:div>
    <w:div w:id="131754058">
      <w:marLeft w:val="0"/>
      <w:marRight w:val="0"/>
      <w:marTop w:val="375"/>
      <w:marBottom w:val="45"/>
      <w:divBdr>
        <w:top w:val="none" w:sz="0" w:space="0" w:color="auto"/>
        <w:left w:val="none" w:sz="0" w:space="0" w:color="auto"/>
        <w:bottom w:val="none" w:sz="0" w:space="0" w:color="auto"/>
        <w:right w:val="none" w:sz="0" w:space="0" w:color="auto"/>
      </w:divBdr>
    </w:div>
    <w:div w:id="144854642">
      <w:marLeft w:val="0"/>
      <w:marRight w:val="0"/>
      <w:marTop w:val="225"/>
      <w:marBottom w:val="60"/>
      <w:divBdr>
        <w:top w:val="none" w:sz="0" w:space="0" w:color="auto"/>
        <w:left w:val="none" w:sz="0" w:space="0" w:color="auto"/>
        <w:bottom w:val="none" w:sz="0" w:space="0" w:color="auto"/>
        <w:right w:val="none" w:sz="0" w:space="0" w:color="auto"/>
      </w:divBdr>
    </w:div>
    <w:div w:id="155416206">
      <w:marLeft w:val="0"/>
      <w:marRight w:val="0"/>
      <w:marTop w:val="150"/>
      <w:marBottom w:val="60"/>
      <w:divBdr>
        <w:top w:val="none" w:sz="0" w:space="0" w:color="auto"/>
        <w:left w:val="none" w:sz="0" w:space="0" w:color="auto"/>
        <w:bottom w:val="none" w:sz="0" w:space="0" w:color="auto"/>
        <w:right w:val="none" w:sz="0" w:space="0" w:color="auto"/>
      </w:divBdr>
    </w:div>
    <w:div w:id="172963047">
      <w:marLeft w:val="0"/>
      <w:marRight w:val="0"/>
      <w:marTop w:val="225"/>
      <w:marBottom w:val="60"/>
      <w:divBdr>
        <w:top w:val="none" w:sz="0" w:space="0" w:color="auto"/>
        <w:left w:val="none" w:sz="0" w:space="0" w:color="auto"/>
        <w:bottom w:val="none" w:sz="0" w:space="0" w:color="auto"/>
        <w:right w:val="none" w:sz="0" w:space="0" w:color="auto"/>
      </w:divBdr>
    </w:div>
    <w:div w:id="176501713">
      <w:marLeft w:val="0"/>
      <w:marRight w:val="0"/>
      <w:marTop w:val="60"/>
      <w:marBottom w:val="60"/>
      <w:divBdr>
        <w:top w:val="none" w:sz="0" w:space="0" w:color="auto"/>
        <w:left w:val="none" w:sz="0" w:space="0" w:color="auto"/>
        <w:bottom w:val="none" w:sz="0" w:space="0" w:color="auto"/>
        <w:right w:val="none" w:sz="0" w:space="0" w:color="auto"/>
      </w:divBdr>
    </w:div>
    <w:div w:id="179319568">
      <w:marLeft w:val="0"/>
      <w:marRight w:val="0"/>
      <w:marTop w:val="225"/>
      <w:marBottom w:val="60"/>
      <w:divBdr>
        <w:top w:val="none" w:sz="0" w:space="0" w:color="auto"/>
        <w:left w:val="none" w:sz="0" w:space="0" w:color="auto"/>
        <w:bottom w:val="none" w:sz="0" w:space="0" w:color="auto"/>
        <w:right w:val="none" w:sz="0" w:space="0" w:color="auto"/>
      </w:divBdr>
      <w:divsChild>
        <w:div w:id="1982418853">
          <w:marLeft w:val="0"/>
          <w:marRight w:val="0"/>
          <w:marTop w:val="225"/>
          <w:marBottom w:val="60"/>
          <w:divBdr>
            <w:top w:val="none" w:sz="0" w:space="0" w:color="auto"/>
            <w:left w:val="none" w:sz="0" w:space="0" w:color="auto"/>
            <w:bottom w:val="none" w:sz="0" w:space="0" w:color="auto"/>
            <w:right w:val="none" w:sz="0" w:space="0" w:color="auto"/>
          </w:divBdr>
        </w:div>
      </w:divsChild>
    </w:div>
    <w:div w:id="197358150">
      <w:marLeft w:val="0"/>
      <w:marRight w:val="0"/>
      <w:marTop w:val="60"/>
      <w:marBottom w:val="60"/>
      <w:divBdr>
        <w:top w:val="none" w:sz="0" w:space="0" w:color="auto"/>
        <w:left w:val="none" w:sz="0" w:space="0" w:color="auto"/>
        <w:bottom w:val="none" w:sz="0" w:space="0" w:color="auto"/>
        <w:right w:val="none" w:sz="0" w:space="0" w:color="auto"/>
      </w:divBdr>
    </w:div>
    <w:div w:id="198662670">
      <w:marLeft w:val="0"/>
      <w:marRight w:val="0"/>
      <w:marTop w:val="150"/>
      <w:marBottom w:val="60"/>
      <w:divBdr>
        <w:top w:val="none" w:sz="0" w:space="0" w:color="auto"/>
        <w:left w:val="none" w:sz="0" w:space="0" w:color="auto"/>
        <w:bottom w:val="none" w:sz="0" w:space="0" w:color="auto"/>
        <w:right w:val="none" w:sz="0" w:space="0" w:color="auto"/>
      </w:divBdr>
    </w:div>
    <w:div w:id="220094092">
      <w:marLeft w:val="0"/>
      <w:marRight w:val="0"/>
      <w:marTop w:val="60"/>
      <w:marBottom w:val="60"/>
      <w:divBdr>
        <w:top w:val="none" w:sz="0" w:space="0" w:color="auto"/>
        <w:left w:val="none" w:sz="0" w:space="0" w:color="auto"/>
        <w:bottom w:val="none" w:sz="0" w:space="0" w:color="auto"/>
        <w:right w:val="none" w:sz="0" w:space="0" w:color="auto"/>
      </w:divBdr>
    </w:div>
    <w:div w:id="274752425">
      <w:marLeft w:val="0"/>
      <w:marRight w:val="0"/>
      <w:marTop w:val="60"/>
      <w:marBottom w:val="60"/>
      <w:divBdr>
        <w:top w:val="none" w:sz="0" w:space="0" w:color="auto"/>
        <w:left w:val="none" w:sz="0" w:space="0" w:color="auto"/>
        <w:bottom w:val="none" w:sz="0" w:space="0" w:color="auto"/>
        <w:right w:val="none" w:sz="0" w:space="0" w:color="auto"/>
      </w:divBdr>
    </w:div>
    <w:div w:id="282734249">
      <w:marLeft w:val="0"/>
      <w:marRight w:val="0"/>
      <w:marTop w:val="60"/>
      <w:marBottom w:val="60"/>
      <w:divBdr>
        <w:top w:val="none" w:sz="0" w:space="0" w:color="auto"/>
        <w:left w:val="none" w:sz="0" w:space="0" w:color="auto"/>
        <w:bottom w:val="none" w:sz="0" w:space="0" w:color="auto"/>
        <w:right w:val="none" w:sz="0" w:space="0" w:color="auto"/>
      </w:divBdr>
    </w:div>
    <w:div w:id="352803974">
      <w:marLeft w:val="0"/>
      <w:marRight w:val="0"/>
      <w:marTop w:val="225"/>
      <w:marBottom w:val="60"/>
      <w:divBdr>
        <w:top w:val="none" w:sz="0" w:space="0" w:color="auto"/>
        <w:left w:val="none" w:sz="0" w:space="0" w:color="auto"/>
        <w:bottom w:val="none" w:sz="0" w:space="0" w:color="auto"/>
        <w:right w:val="none" w:sz="0" w:space="0" w:color="auto"/>
      </w:divBdr>
    </w:div>
    <w:div w:id="384334374">
      <w:marLeft w:val="0"/>
      <w:marRight w:val="0"/>
      <w:marTop w:val="225"/>
      <w:marBottom w:val="60"/>
      <w:divBdr>
        <w:top w:val="none" w:sz="0" w:space="0" w:color="auto"/>
        <w:left w:val="none" w:sz="0" w:space="0" w:color="auto"/>
        <w:bottom w:val="none" w:sz="0" w:space="0" w:color="auto"/>
        <w:right w:val="none" w:sz="0" w:space="0" w:color="auto"/>
      </w:divBdr>
    </w:div>
    <w:div w:id="430664123">
      <w:marLeft w:val="0"/>
      <w:marRight w:val="0"/>
      <w:marTop w:val="60"/>
      <w:marBottom w:val="60"/>
      <w:divBdr>
        <w:top w:val="none" w:sz="0" w:space="0" w:color="auto"/>
        <w:left w:val="none" w:sz="0" w:space="0" w:color="auto"/>
        <w:bottom w:val="none" w:sz="0" w:space="0" w:color="auto"/>
        <w:right w:val="none" w:sz="0" w:space="0" w:color="auto"/>
      </w:divBdr>
    </w:div>
    <w:div w:id="481041706">
      <w:marLeft w:val="0"/>
      <w:marRight w:val="0"/>
      <w:marTop w:val="225"/>
      <w:marBottom w:val="60"/>
      <w:divBdr>
        <w:top w:val="none" w:sz="0" w:space="0" w:color="auto"/>
        <w:left w:val="none" w:sz="0" w:space="0" w:color="auto"/>
        <w:bottom w:val="none" w:sz="0" w:space="0" w:color="auto"/>
        <w:right w:val="none" w:sz="0" w:space="0" w:color="auto"/>
      </w:divBdr>
    </w:div>
    <w:div w:id="506290356">
      <w:marLeft w:val="0"/>
      <w:marRight w:val="0"/>
      <w:marTop w:val="450"/>
      <w:marBottom w:val="0"/>
      <w:divBdr>
        <w:top w:val="none" w:sz="0" w:space="0" w:color="auto"/>
        <w:left w:val="none" w:sz="0" w:space="0" w:color="auto"/>
        <w:bottom w:val="none" w:sz="0" w:space="0" w:color="auto"/>
        <w:right w:val="none" w:sz="0" w:space="0" w:color="auto"/>
      </w:divBdr>
    </w:div>
    <w:div w:id="551158537">
      <w:marLeft w:val="0"/>
      <w:marRight w:val="0"/>
      <w:marTop w:val="150"/>
      <w:marBottom w:val="60"/>
      <w:divBdr>
        <w:top w:val="none" w:sz="0" w:space="0" w:color="auto"/>
        <w:left w:val="none" w:sz="0" w:space="0" w:color="auto"/>
        <w:bottom w:val="none" w:sz="0" w:space="0" w:color="auto"/>
        <w:right w:val="none" w:sz="0" w:space="0" w:color="auto"/>
      </w:divBdr>
    </w:div>
    <w:div w:id="551428814">
      <w:marLeft w:val="0"/>
      <w:marRight w:val="0"/>
      <w:marTop w:val="225"/>
      <w:marBottom w:val="60"/>
      <w:divBdr>
        <w:top w:val="none" w:sz="0" w:space="0" w:color="auto"/>
        <w:left w:val="none" w:sz="0" w:space="0" w:color="auto"/>
        <w:bottom w:val="none" w:sz="0" w:space="0" w:color="auto"/>
        <w:right w:val="none" w:sz="0" w:space="0" w:color="auto"/>
      </w:divBdr>
    </w:div>
    <w:div w:id="610940358">
      <w:marLeft w:val="0"/>
      <w:marRight w:val="0"/>
      <w:marTop w:val="60"/>
      <w:marBottom w:val="60"/>
      <w:divBdr>
        <w:top w:val="none" w:sz="0" w:space="0" w:color="auto"/>
        <w:left w:val="none" w:sz="0" w:space="0" w:color="auto"/>
        <w:bottom w:val="none" w:sz="0" w:space="0" w:color="auto"/>
        <w:right w:val="none" w:sz="0" w:space="0" w:color="auto"/>
      </w:divBdr>
    </w:div>
    <w:div w:id="665519935">
      <w:marLeft w:val="0"/>
      <w:marRight w:val="0"/>
      <w:marTop w:val="225"/>
      <w:marBottom w:val="60"/>
      <w:divBdr>
        <w:top w:val="none" w:sz="0" w:space="0" w:color="auto"/>
        <w:left w:val="none" w:sz="0" w:space="0" w:color="auto"/>
        <w:bottom w:val="none" w:sz="0" w:space="0" w:color="auto"/>
        <w:right w:val="none" w:sz="0" w:space="0" w:color="auto"/>
      </w:divBdr>
    </w:div>
    <w:div w:id="666246126">
      <w:marLeft w:val="0"/>
      <w:marRight w:val="0"/>
      <w:marTop w:val="225"/>
      <w:marBottom w:val="60"/>
      <w:divBdr>
        <w:top w:val="none" w:sz="0" w:space="0" w:color="auto"/>
        <w:left w:val="none" w:sz="0" w:space="0" w:color="auto"/>
        <w:bottom w:val="none" w:sz="0" w:space="0" w:color="auto"/>
        <w:right w:val="none" w:sz="0" w:space="0" w:color="auto"/>
      </w:divBdr>
    </w:div>
    <w:div w:id="672807314">
      <w:marLeft w:val="0"/>
      <w:marRight w:val="0"/>
      <w:marTop w:val="60"/>
      <w:marBottom w:val="60"/>
      <w:divBdr>
        <w:top w:val="none" w:sz="0" w:space="0" w:color="auto"/>
        <w:left w:val="none" w:sz="0" w:space="0" w:color="auto"/>
        <w:bottom w:val="none" w:sz="0" w:space="0" w:color="auto"/>
        <w:right w:val="none" w:sz="0" w:space="0" w:color="auto"/>
      </w:divBdr>
    </w:div>
    <w:div w:id="674767285">
      <w:marLeft w:val="0"/>
      <w:marRight w:val="0"/>
      <w:marTop w:val="15"/>
      <w:marBottom w:val="15"/>
      <w:divBdr>
        <w:top w:val="none" w:sz="0" w:space="0" w:color="auto"/>
        <w:left w:val="none" w:sz="0" w:space="0" w:color="auto"/>
        <w:bottom w:val="none" w:sz="0" w:space="0" w:color="auto"/>
        <w:right w:val="none" w:sz="0" w:space="0" w:color="auto"/>
      </w:divBdr>
    </w:div>
    <w:div w:id="704451720">
      <w:marLeft w:val="0"/>
      <w:marRight w:val="0"/>
      <w:marTop w:val="60"/>
      <w:marBottom w:val="60"/>
      <w:divBdr>
        <w:top w:val="none" w:sz="0" w:space="0" w:color="auto"/>
        <w:left w:val="none" w:sz="0" w:space="0" w:color="auto"/>
        <w:bottom w:val="none" w:sz="0" w:space="0" w:color="auto"/>
        <w:right w:val="none" w:sz="0" w:space="0" w:color="auto"/>
      </w:divBdr>
    </w:div>
    <w:div w:id="731395051">
      <w:marLeft w:val="0"/>
      <w:marRight w:val="0"/>
      <w:marTop w:val="60"/>
      <w:marBottom w:val="60"/>
      <w:divBdr>
        <w:top w:val="none" w:sz="0" w:space="0" w:color="auto"/>
        <w:left w:val="none" w:sz="0" w:space="0" w:color="auto"/>
        <w:bottom w:val="none" w:sz="0" w:space="0" w:color="auto"/>
        <w:right w:val="none" w:sz="0" w:space="0" w:color="auto"/>
      </w:divBdr>
    </w:div>
    <w:div w:id="779254438">
      <w:marLeft w:val="0"/>
      <w:marRight w:val="0"/>
      <w:marTop w:val="225"/>
      <w:marBottom w:val="60"/>
      <w:divBdr>
        <w:top w:val="none" w:sz="0" w:space="0" w:color="auto"/>
        <w:left w:val="none" w:sz="0" w:space="0" w:color="auto"/>
        <w:bottom w:val="none" w:sz="0" w:space="0" w:color="auto"/>
        <w:right w:val="none" w:sz="0" w:space="0" w:color="auto"/>
      </w:divBdr>
    </w:div>
    <w:div w:id="789280747">
      <w:marLeft w:val="0"/>
      <w:marRight w:val="0"/>
      <w:marTop w:val="225"/>
      <w:marBottom w:val="60"/>
      <w:divBdr>
        <w:top w:val="none" w:sz="0" w:space="0" w:color="auto"/>
        <w:left w:val="none" w:sz="0" w:space="0" w:color="auto"/>
        <w:bottom w:val="none" w:sz="0" w:space="0" w:color="auto"/>
        <w:right w:val="none" w:sz="0" w:space="0" w:color="auto"/>
      </w:divBdr>
    </w:div>
    <w:div w:id="847984290">
      <w:marLeft w:val="0"/>
      <w:marRight w:val="0"/>
      <w:marTop w:val="225"/>
      <w:marBottom w:val="60"/>
      <w:divBdr>
        <w:top w:val="none" w:sz="0" w:space="0" w:color="auto"/>
        <w:left w:val="none" w:sz="0" w:space="0" w:color="auto"/>
        <w:bottom w:val="none" w:sz="0" w:space="0" w:color="auto"/>
        <w:right w:val="none" w:sz="0" w:space="0" w:color="auto"/>
      </w:divBdr>
    </w:div>
    <w:div w:id="863637822">
      <w:marLeft w:val="0"/>
      <w:marRight w:val="0"/>
      <w:marTop w:val="60"/>
      <w:marBottom w:val="60"/>
      <w:divBdr>
        <w:top w:val="none" w:sz="0" w:space="0" w:color="auto"/>
        <w:left w:val="none" w:sz="0" w:space="0" w:color="auto"/>
        <w:bottom w:val="none" w:sz="0" w:space="0" w:color="auto"/>
        <w:right w:val="none" w:sz="0" w:space="0" w:color="auto"/>
      </w:divBdr>
      <w:divsChild>
        <w:div w:id="1630696884">
          <w:marLeft w:val="0"/>
          <w:marRight w:val="0"/>
          <w:marTop w:val="60"/>
          <w:marBottom w:val="60"/>
          <w:divBdr>
            <w:top w:val="none" w:sz="0" w:space="0" w:color="auto"/>
            <w:left w:val="none" w:sz="0" w:space="0" w:color="auto"/>
            <w:bottom w:val="none" w:sz="0" w:space="0" w:color="auto"/>
            <w:right w:val="none" w:sz="0" w:space="0" w:color="auto"/>
          </w:divBdr>
        </w:div>
      </w:divsChild>
    </w:div>
    <w:div w:id="864750981">
      <w:marLeft w:val="0"/>
      <w:marRight w:val="0"/>
      <w:marTop w:val="450"/>
      <w:marBottom w:val="0"/>
      <w:divBdr>
        <w:top w:val="none" w:sz="0" w:space="0" w:color="auto"/>
        <w:left w:val="none" w:sz="0" w:space="0" w:color="auto"/>
        <w:bottom w:val="none" w:sz="0" w:space="0" w:color="auto"/>
        <w:right w:val="none" w:sz="0" w:space="0" w:color="auto"/>
      </w:divBdr>
    </w:div>
    <w:div w:id="901595632">
      <w:marLeft w:val="0"/>
      <w:marRight w:val="0"/>
      <w:marTop w:val="150"/>
      <w:marBottom w:val="60"/>
      <w:divBdr>
        <w:top w:val="none" w:sz="0" w:space="0" w:color="auto"/>
        <w:left w:val="none" w:sz="0" w:space="0" w:color="auto"/>
        <w:bottom w:val="none" w:sz="0" w:space="0" w:color="auto"/>
        <w:right w:val="none" w:sz="0" w:space="0" w:color="auto"/>
      </w:divBdr>
    </w:div>
    <w:div w:id="964702124">
      <w:marLeft w:val="0"/>
      <w:marRight w:val="0"/>
      <w:marTop w:val="150"/>
      <w:marBottom w:val="60"/>
      <w:divBdr>
        <w:top w:val="none" w:sz="0" w:space="0" w:color="auto"/>
        <w:left w:val="none" w:sz="0" w:space="0" w:color="auto"/>
        <w:bottom w:val="none" w:sz="0" w:space="0" w:color="auto"/>
        <w:right w:val="none" w:sz="0" w:space="0" w:color="auto"/>
      </w:divBdr>
    </w:div>
    <w:div w:id="981302468">
      <w:marLeft w:val="0"/>
      <w:marRight w:val="0"/>
      <w:marTop w:val="60"/>
      <w:marBottom w:val="60"/>
      <w:divBdr>
        <w:top w:val="none" w:sz="0" w:space="0" w:color="auto"/>
        <w:left w:val="none" w:sz="0" w:space="0" w:color="auto"/>
        <w:bottom w:val="none" w:sz="0" w:space="0" w:color="auto"/>
        <w:right w:val="none" w:sz="0" w:space="0" w:color="auto"/>
      </w:divBdr>
    </w:div>
    <w:div w:id="1039862704">
      <w:marLeft w:val="0"/>
      <w:marRight w:val="0"/>
      <w:marTop w:val="60"/>
      <w:marBottom w:val="60"/>
      <w:divBdr>
        <w:top w:val="none" w:sz="0" w:space="0" w:color="auto"/>
        <w:left w:val="none" w:sz="0" w:space="0" w:color="auto"/>
        <w:bottom w:val="none" w:sz="0" w:space="0" w:color="auto"/>
        <w:right w:val="none" w:sz="0" w:space="0" w:color="auto"/>
      </w:divBdr>
    </w:div>
    <w:div w:id="1081218071">
      <w:marLeft w:val="0"/>
      <w:marRight w:val="0"/>
      <w:marTop w:val="225"/>
      <w:marBottom w:val="60"/>
      <w:divBdr>
        <w:top w:val="none" w:sz="0" w:space="0" w:color="auto"/>
        <w:left w:val="none" w:sz="0" w:space="0" w:color="auto"/>
        <w:bottom w:val="none" w:sz="0" w:space="0" w:color="auto"/>
        <w:right w:val="none" w:sz="0" w:space="0" w:color="auto"/>
      </w:divBdr>
    </w:div>
    <w:div w:id="1122577670">
      <w:marLeft w:val="0"/>
      <w:marRight w:val="0"/>
      <w:marTop w:val="225"/>
      <w:marBottom w:val="60"/>
      <w:divBdr>
        <w:top w:val="none" w:sz="0" w:space="0" w:color="auto"/>
        <w:left w:val="none" w:sz="0" w:space="0" w:color="auto"/>
        <w:bottom w:val="none" w:sz="0" w:space="0" w:color="auto"/>
        <w:right w:val="none" w:sz="0" w:space="0" w:color="auto"/>
      </w:divBdr>
    </w:div>
    <w:div w:id="1165514360">
      <w:marLeft w:val="0"/>
      <w:marRight w:val="0"/>
      <w:marTop w:val="60"/>
      <w:marBottom w:val="60"/>
      <w:divBdr>
        <w:top w:val="none" w:sz="0" w:space="0" w:color="auto"/>
        <w:left w:val="none" w:sz="0" w:space="0" w:color="auto"/>
        <w:bottom w:val="none" w:sz="0" w:space="0" w:color="auto"/>
        <w:right w:val="none" w:sz="0" w:space="0" w:color="auto"/>
      </w:divBdr>
    </w:div>
    <w:div w:id="1187789475">
      <w:marLeft w:val="0"/>
      <w:marRight w:val="0"/>
      <w:marTop w:val="225"/>
      <w:marBottom w:val="60"/>
      <w:divBdr>
        <w:top w:val="none" w:sz="0" w:space="0" w:color="auto"/>
        <w:left w:val="none" w:sz="0" w:space="0" w:color="auto"/>
        <w:bottom w:val="none" w:sz="0" w:space="0" w:color="auto"/>
        <w:right w:val="none" w:sz="0" w:space="0" w:color="auto"/>
      </w:divBdr>
    </w:div>
    <w:div w:id="1207790379">
      <w:marLeft w:val="0"/>
      <w:marRight w:val="0"/>
      <w:marTop w:val="60"/>
      <w:marBottom w:val="60"/>
      <w:divBdr>
        <w:top w:val="none" w:sz="0" w:space="0" w:color="auto"/>
        <w:left w:val="none" w:sz="0" w:space="0" w:color="auto"/>
        <w:bottom w:val="none" w:sz="0" w:space="0" w:color="auto"/>
        <w:right w:val="none" w:sz="0" w:space="0" w:color="auto"/>
      </w:divBdr>
    </w:div>
    <w:div w:id="1241863455">
      <w:marLeft w:val="0"/>
      <w:marRight w:val="0"/>
      <w:marTop w:val="225"/>
      <w:marBottom w:val="60"/>
      <w:divBdr>
        <w:top w:val="none" w:sz="0" w:space="0" w:color="auto"/>
        <w:left w:val="none" w:sz="0" w:space="0" w:color="auto"/>
        <w:bottom w:val="none" w:sz="0" w:space="0" w:color="auto"/>
        <w:right w:val="none" w:sz="0" w:space="0" w:color="auto"/>
      </w:divBdr>
    </w:div>
    <w:div w:id="1243367045">
      <w:marLeft w:val="0"/>
      <w:marRight w:val="0"/>
      <w:marTop w:val="0"/>
      <w:marBottom w:val="0"/>
      <w:divBdr>
        <w:top w:val="none" w:sz="0" w:space="0" w:color="auto"/>
        <w:left w:val="none" w:sz="0" w:space="0" w:color="auto"/>
        <w:bottom w:val="none" w:sz="0" w:space="0" w:color="auto"/>
        <w:right w:val="none" w:sz="0" w:space="0" w:color="auto"/>
      </w:divBdr>
      <w:divsChild>
        <w:div w:id="338385805">
          <w:marLeft w:val="0"/>
          <w:marRight w:val="0"/>
          <w:marTop w:val="1500"/>
          <w:marBottom w:val="750"/>
          <w:divBdr>
            <w:top w:val="none" w:sz="0" w:space="0" w:color="auto"/>
            <w:left w:val="none" w:sz="0" w:space="0" w:color="auto"/>
            <w:bottom w:val="none" w:sz="0" w:space="0" w:color="auto"/>
            <w:right w:val="none" w:sz="0" w:space="0" w:color="auto"/>
          </w:divBdr>
        </w:div>
        <w:div w:id="1558736568">
          <w:marLeft w:val="0"/>
          <w:marRight w:val="0"/>
          <w:marTop w:val="150"/>
          <w:marBottom w:val="1500"/>
          <w:divBdr>
            <w:top w:val="none" w:sz="0" w:space="0" w:color="auto"/>
            <w:left w:val="none" w:sz="0" w:space="0" w:color="auto"/>
            <w:bottom w:val="none" w:sz="0" w:space="0" w:color="auto"/>
            <w:right w:val="none" w:sz="0" w:space="0" w:color="auto"/>
          </w:divBdr>
        </w:div>
        <w:div w:id="925842460">
          <w:marLeft w:val="0"/>
          <w:marRight w:val="0"/>
          <w:marTop w:val="375"/>
          <w:marBottom w:val="45"/>
          <w:divBdr>
            <w:top w:val="none" w:sz="0" w:space="0" w:color="auto"/>
            <w:left w:val="none" w:sz="0" w:space="0" w:color="auto"/>
            <w:bottom w:val="none" w:sz="0" w:space="0" w:color="auto"/>
            <w:right w:val="none" w:sz="0" w:space="0" w:color="auto"/>
          </w:divBdr>
        </w:div>
        <w:div w:id="300229499">
          <w:marLeft w:val="0"/>
          <w:marRight w:val="0"/>
          <w:marTop w:val="375"/>
          <w:marBottom w:val="750"/>
          <w:divBdr>
            <w:top w:val="none" w:sz="0" w:space="0" w:color="auto"/>
            <w:left w:val="none" w:sz="0" w:space="0" w:color="auto"/>
            <w:bottom w:val="none" w:sz="0" w:space="0" w:color="auto"/>
            <w:right w:val="none" w:sz="0" w:space="0" w:color="auto"/>
          </w:divBdr>
        </w:div>
      </w:divsChild>
    </w:div>
    <w:div w:id="1249999398">
      <w:marLeft w:val="0"/>
      <w:marRight w:val="0"/>
      <w:marTop w:val="225"/>
      <w:marBottom w:val="60"/>
      <w:divBdr>
        <w:top w:val="none" w:sz="0" w:space="0" w:color="auto"/>
        <w:left w:val="none" w:sz="0" w:space="0" w:color="auto"/>
        <w:bottom w:val="none" w:sz="0" w:space="0" w:color="auto"/>
        <w:right w:val="none" w:sz="0" w:space="0" w:color="auto"/>
      </w:divBdr>
    </w:div>
    <w:div w:id="1264679819">
      <w:marLeft w:val="0"/>
      <w:marRight w:val="0"/>
      <w:marTop w:val="60"/>
      <w:marBottom w:val="60"/>
      <w:divBdr>
        <w:top w:val="none" w:sz="0" w:space="0" w:color="auto"/>
        <w:left w:val="none" w:sz="0" w:space="0" w:color="auto"/>
        <w:bottom w:val="none" w:sz="0" w:space="0" w:color="auto"/>
        <w:right w:val="none" w:sz="0" w:space="0" w:color="auto"/>
      </w:divBdr>
    </w:div>
    <w:div w:id="1273199345">
      <w:marLeft w:val="0"/>
      <w:marRight w:val="0"/>
      <w:marTop w:val="60"/>
      <w:marBottom w:val="60"/>
      <w:divBdr>
        <w:top w:val="none" w:sz="0" w:space="0" w:color="auto"/>
        <w:left w:val="none" w:sz="0" w:space="0" w:color="auto"/>
        <w:bottom w:val="none" w:sz="0" w:space="0" w:color="auto"/>
        <w:right w:val="none" w:sz="0" w:space="0" w:color="auto"/>
      </w:divBdr>
    </w:div>
    <w:div w:id="1273589748">
      <w:marLeft w:val="0"/>
      <w:marRight w:val="0"/>
      <w:marTop w:val="60"/>
      <w:marBottom w:val="60"/>
      <w:divBdr>
        <w:top w:val="none" w:sz="0" w:space="0" w:color="auto"/>
        <w:left w:val="none" w:sz="0" w:space="0" w:color="auto"/>
        <w:bottom w:val="none" w:sz="0" w:space="0" w:color="auto"/>
        <w:right w:val="none" w:sz="0" w:space="0" w:color="auto"/>
      </w:divBdr>
    </w:div>
    <w:div w:id="1339382585">
      <w:marLeft w:val="0"/>
      <w:marRight w:val="0"/>
      <w:marTop w:val="225"/>
      <w:marBottom w:val="60"/>
      <w:divBdr>
        <w:top w:val="none" w:sz="0" w:space="0" w:color="auto"/>
        <w:left w:val="none" w:sz="0" w:space="0" w:color="auto"/>
        <w:bottom w:val="none" w:sz="0" w:space="0" w:color="auto"/>
        <w:right w:val="none" w:sz="0" w:space="0" w:color="auto"/>
      </w:divBdr>
    </w:div>
    <w:div w:id="1396121569">
      <w:marLeft w:val="0"/>
      <w:marRight w:val="0"/>
      <w:marTop w:val="225"/>
      <w:marBottom w:val="60"/>
      <w:divBdr>
        <w:top w:val="none" w:sz="0" w:space="0" w:color="auto"/>
        <w:left w:val="none" w:sz="0" w:space="0" w:color="auto"/>
        <w:bottom w:val="none" w:sz="0" w:space="0" w:color="auto"/>
        <w:right w:val="none" w:sz="0" w:space="0" w:color="auto"/>
      </w:divBdr>
    </w:div>
    <w:div w:id="1401059349">
      <w:marLeft w:val="0"/>
      <w:marRight w:val="0"/>
      <w:marTop w:val="225"/>
      <w:marBottom w:val="60"/>
      <w:divBdr>
        <w:top w:val="none" w:sz="0" w:space="0" w:color="auto"/>
        <w:left w:val="none" w:sz="0" w:space="0" w:color="auto"/>
        <w:bottom w:val="none" w:sz="0" w:space="0" w:color="auto"/>
        <w:right w:val="none" w:sz="0" w:space="0" w:color="auto"/>
      </w:divBdr>
    </w:div>
    <w:div w:id="1501852027">
      <w:marLeft w:val="0"/>
      <w:marRight w:val="0"/>
      <w:marTop w:val="60"/>
      <w:marBottom w:val="60"/>
      <w:divBdr>
        <w:top w:val="none" w:sz="0" w:space="0" w:color="auto"/>
        <w:left w:val="none" w:sz="0" w:space="0" w:color="auto"/>
        <w:bottom w:val="none" w:sz="0" w:space="0" w:color="auto"/>
        <w:right w:val="none" w:sz="0" w:space="0" w:color="auto"/>
      </w:divBdr>
    </w:div>
    <w:div w:id="1507162982">
      <w:marLeft w:val="0"/>
      <w:marRight w:val="0"/>
      <w:marTop w:val="225"/>
      <w:marBottom w:val="60"/>
      <w:divBdr>
        <w:top w:val="none" w:sz="0" w:space="0" w:color="auto"/>
        <w:left w:val="none" w:sz="0" w:space="0" w:color="auto"/>
        <w:bottom w:val="none" w:sz="0" w:space="0" w:color="auto"/>
        <w:right w:val="none" w:sz="0" w:space="0" w:color="auto"/>
      </w:divBdr>
    </w:div>
    <w:div w:id="1524977524">
      <w:marLeft w:val="0"/>
      <w:marRight w:val="0"/>
      <w:marTop w:val="225"/>
      <w:marBottom w:val="60"/>
      <w:divBdr>
        <w:top w:val="none" w:sz="0" w:space="0" w:color="auto"/>
        <w:left w:val="none" w:sz="0" w:space="0" w:color="auto"/>
        <w:bottom w:val="none" w:sz="0" w:space="0" w:color="auto"/>
        <w:right w:val="none" w:sz="0" w:space="0" w:color="auto"/>
      </w:divBdr>
    </w:div>
    <w:div w:id="1541935748">
      <w:marLeft w:val="0"/>
      <w:marRight w:val="0"/>
      <w:marTop w:val="225"/>
      <w:marBottom w:val="60"/>
      <w:divBdr>
        <w:top w:val="none" w:sz="0" w:space="0" w:color="auto"/>
        <w:left w:val="none" w:sz="0" w:space="0" w:color="auto"/>
        <w:bottom w:val="none" w:sz="0" w:space="0" w:color="auto"/>
        <w:right w:val="none" w:sz="0" w:space="0" w:color="auto"/>
      </w:divBdr>
    </w:div>
    <w:div w:id="1618176562">
      <w:marLeft w:val="0"/>
      <w:marRight w:val="0"/>
      <w:marTop w:val="60"/>
      <w:marBottom w:val="60"/>
      <w:divBdr>
        <w:top w:val="none" w:sz="0" w:space="0" w:color="auto"/>
        <w:left w:val="none" w:sz="0" w:space="0" w:color="auto"/>
        <w:bottom w:val="none" w:sz="0" w:space="0" w:color="auto"/>
        <w:right w:val="none" w:sz="0" w:space="0" w:color="auto"/>
      </w:divBdr>
    </w:div>
    <w:div w:id="1658416081">
      <w:marLeft w:val="0"/>
      <w:marRight w:val="0"/>
      <w:marTop w:val="60"/>
      <w:marBottom w:val="60"/>
      <w:divBdr>
        <w:top w:val="none" w:sz="0" w:space="0" w:color="auto"/>
        <w:left w:val="none" w:sz="0" w:space="0" w:color="auto"/>
        <w:bottom w:val="none" w:sz="0" w:space="0" w:color="auto"/>
        <w:right w:val="none" w:sz="0" w:space="0" w:color="auto"/>
      </w:divBdr>
    </w:div>
    <w:div w:id="1744985351">
      <w:marLeft w:val="0"/>
      <w:marRight w:val="0"/>
      <w:marTop w:val="60"/>
      <w:marBottom w:val="60"/>
      <w:divBdr>
        <w:top w:val="none" w:sz="0" w:space="0" w:color="auto"/>
        <w:left w:val="none" w:sz="0" w:space="0" w:color="auto"/>
        <w:bottom w:val="none" w:sz="0" w:space="0" w:color="auto"/>
        <w:right w:val="none" w:sz="0" w:space="0" w:color="auto"/>
      </w:divBdr>
    </w:div>
    <w:div w:id="1772433030">
      <w:marLeft w:val="0"/>
      <w:marRight w:val="0"/>
      <w:marTop w:val="150"/>
      <w:marBottom w:val="60"/>
      <w:divBdr>
        <w:top w:val="none" w:sz="0" w:space="0" w:color="auto"/>
        <w:left w:val="none" w:sz="0" w:space="0" w:color="auto"/>
        <w:bottom w:val="none" w:sz="0" w:space="0" w:color="auto"/>
        <w:right w:val="none" w:sz="0" w:space="0" w:color="auto"/>
      </w:divBdr>
    </w:div>
    <w:div w:id="1856070127">
      <w:marLeft w:val="0"/>
      <w:marRight w:val="0"/>
      <w:marTop w:val="225"/>
      <w:marBottom w:val="60"/>
      <w:divBdr>
        <w:top w:val="none" w:sz="0" w:space="0" w:color="auto"/>
        <w:left w:val="none" w:sz="0" w:space="0" w:color="auto"/>
        <w:bottom w:val="none" w:sz="0" w:space="0" w:color="auto"/>
        <w:right w:val="none" w:sz="0" w:space="0" w:color="auto"/>
      </w:divBdr>
    </w:div>
    <w:div w:id="1873152976">
      <w:marLeft w:val="0"/>
      <w:marRight w:val="0"/>
      <w:marTop w:val="60"/>
      <w:marBottom w:val="60"/>
      <w:divBdr>
        <w:top w:val="none" w:sz="0" w:space="0" w:color="auto"/>
        <w:left w:val="none" w:sz="0" w:space="0" w:color="auto"/>
        <w:bottom w:val="none" w:sz="0" w:space="0" w:color="auto"/>
        <w:right w:val="none" w:sz="0" w:space="0" w:color="auto"/>
      </w:divBdr>
    </w:div>
    <w:div w:id="1895504573">
      <w:marLeft w:val="0"/>
      <w:marRight w:val="0"/>
      <w:marTop w:val="225"/>
      <w:marBottom w:val="60"/>
      <w:divBdr>
        <w:top w:val="none" w:sz="0" w:space="0" w:color="auto"/>
        <w:left w:val="none" w:sz="0" w:space="0" w:color="auto"/>
        <w:bottom w:val="none" w:sz="0" w:space="0" w:color="auto"/>
        <w:right w:val="none" w:sz="0" w:space="0" w:color="auto"/>
      </w:divBdr>
    </w:div>
    <w:div w:id="1896698584">
      <w:marLeft w:val="0"/>
      <w:marRight w:val="0"/>
      <w:marTop w:val="450"/>
      <w:marBottom w:val="0"/>
      <w:divBdr>
        <w:top w:val="none" w:sz="0" w:space="0" w:color="auto"/>
        <w:left w:val="none" w:sz="0" w:space="0" w:color="auto"/>
        <w:bottom w:val="none" w:sz="0" w:space="0" w:color="auto"/>
        <w:right w:val="none" w:sz="0" w:space="0" w:color="auto"/>
      </w:divBdr>
    </w:div>
    <w:div w:id="1916162080">
      <w:marLeft w:val="0"/>
      <w:marRight w:val="0"/>
      <w:marTop w:val="150"/>
      <w:marBottom w:val="60"/>
      <w:divBdr>
        <w:top w:val="none" w:sz="0" w:space="0" w:color="auto"/>
        <w:left w:val="none" w:sz="0" w:space="0" w:color="auto"/>
        <w:bottom w:val="none" w:sz="0" w:space="0" w:color="auto"/>
        <w:right w:val="none" w:sz="0" w:space="0" w:color="auto"/>
      </w:divBdr>
    </w:div>
    <w:div w:id="1937638398">
      <w:marLeft w:val="0"/>
      <w:marRight w:val="0"/>
      <w:marTop w:val="60"/>
      <w:marBottom w:val="60"/>
      <w:divBdr>
        <w:top w:val="none" w:sz="0" w:space="0" w:color="auto"/>
        <w:left w:val="none" w:sz="0" w:space="0" w:color="auto"/>
        <w:bottom w:val="none" w:sz="0" w:space="0" w:color="auto"/>
        <w:right w:val="none" w:sz="0" w:space="0" w:color="auto"/>
      </w:divBdr>
      <w:divsChild>
        <w:div w:id="2115633612">
          <w:marLeft w:val="0"/>
          <w:marRight w:val="0"/>
          <w:marTop w:val="60"/>
          <w:marBottom w:val="60"/>
          <w:divBdr>
            <w:top w:val="none" w:sz="0" w:space="0" w:color="auto"/>
            <w:left w:val="none" w:sz="0" w:space="0" w:color="auto"/>
            <w:bottom w:val="none" w:sz="0" w:space="0" w:color="auto"/>
            <w:right w:val="none" w:sz="0" w:space="0" w:color="auto"/>
          </w:divBdr>
        </w:div>
      </w:divsChild>
    </w:div>
    <w:div w:id="1937901145">
      <w:marLeft w:val="0"/>
      <w:marRight w:val="0"/>
      <w:marTop w:val="225"/>
      <w:marBottom w:val="60"/>
      <w:divBdr>
        <w:top w:val="none" w:sz="0" w:space="0" w:color="auto"/>
        <w:left w:val="none" w:sz="0" w:space="0" w:color="auto"/>
        <w:bottom w:val="none" w:sz="0" w:space="0" w:color="auto"/>
        <w:right w:val="none" w:sz="0" w:space="0" w:color="auto"/>
      </w:divBdr>
      <w:divsChild>
        <w:div w:id="824127856">
          <w:marLeft w:val="0"/>
          <w:marRight w:val="0"/>
          <w:marTop w:val="150"/>
          <w:marBottom w:val="60"/>
          <w:divBdr>
            <w:top w:val="none" w:sz="0" w:space="0" w:color="auto"/>
            <w:left w:val="none" w:sz="0" w:space="0" w:color="auto"/>
            <w:bottom w:val="none" w:sz="0" w:space="0" w:color="auto"/>
            <w:right w:val="none" w:sz="0" w:space="0" w:color="auto"/>
          </w:divBdr>
        </w:div>
        <w:div w:id="1264269422">
          <w:marLeft w:val="0"/>
          <w:marRight w:val="0"/>
          <w:marTop w:val="75"/>
          <w:marBottom w:val="0"/>
          <w:divBdr>
            <w:top w:val="none" w:sz="0" w:space="0" w:color="auto"/>
            <w:left w:val="none" w:sz="0" w:space="0" w:color="auto"/>
            <w:bottom w:val="none" w:sz="0" w:space="0" w:color="auto"/>
            <w:right w:val="none" w:sz="0" w:space="0" w:color="auto"/>
          </w:divBdr>
        </w:div>
      </w:divsChild>
    </w:div>
    <w:div w:id="1940868708">
      <w:marLeft w:val="0"/>
      <w:marRight w:val="0"/>
      <w:marTop w:val="225"/>
      <w:marBottom w:val="60"/>
      <w:divBdr>
        <w:top w:val="none" w:sz="0" w:space="0" w:color="auto"/>
        <w:left w:val="none" w:sz="0" w:space="0" w:color="auto"/>
        <w:bottom w:val="none" w:sz="0" w:space="0" w:color="auto"/>
        <w:right w:val="none" w:sz="0" w:space="0" w:color="auto"/>
      </w:divBdr>
    </w:div>
    <w:div w:id="1958679015">
      <w:marLeft w:val="0"/>
      <w:marRight w:val="0"/>
      <w:marTop w:val="60"/>
      <w:marBottom w:val="60"/>
      <w:divBdr>
        <w:top w:val="none" w:sz="0" w:space="0" w:color="auto"/>
        <w:left w:val="none" w:sz="0" w:space="0" w:color="auto"/>
        <w:bottom w:val="none" w:sz="0" w:space="0" w:color="auto"/>
        <w:right w:val="none" w:sz="0" w:space="0" w:color="auto"/>
      </w:divBdr>
    </w:div>
    <w:div w:id="2016036869">
      <w:marLeft w:val="0"/>
      <w:marRight w:val="0"/>
      <w:marTop w:val="60"/>
      <w:marBottom w:val="60"/>
      <w:divBdr>
        <w:top w:val="none" w:sz="0" w:space="0" w:color="auto"/>
        <w:left w:val="none" w:sz="0" w:space="0" w:color="auto"/>
        <w:bottom w:val="none" w:sz="0" w:space="0" w:color="auto"/>
        <w:right w:val="none" w:sz="0" w:space="0" w:color="auto"/>
      </w:divBdr>
    </w:div>
    <w:div w:id="2103529410">
      <w:marLeft w:val="0"/>
      <w:marRight w:val="0"/>
      <w:marTop w:val="225"/>
      <w:marBottom w:val="60"/>
      <w:divBdr>
        <w:top w:val="none" w:sz="0" w:space="0" w:color="auto"/>
        <w:left w:val="none" w:sz="0" w:space="0" w:color="auto"/>
        <w:bottom w:val="none" w:sz="0" w:space="0" w:color="auto"/>
        <w:right w:val="none" w:sz="0" w:space="0" w:color="auto"/>
      </w:divBdr>
    </w:div>
    <w:div w:id="2126923880">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0495.jpg" TargetMode="External"/><Relationship Id="rId13" Type="http://schemas.openxmlformats.org/officeDocument/2006/relationships/image" Target="http://mptf.undp.org/assets/images/001993.jpg" TargetMode="External"/><Relationship Id="rId18" Type="http://schemas.openxmlformats.org/officeDocument/2006/relationships/image" Target="http://mptf.undp.org/assets/images/001999.jpg" TargetMode="External"/><Relationship Id="rId26" Type="http://schemas.openxmlformats.org/officeDocument/2006/relationships/image" Target="http://mptf.undp.org/assets/images/flags_34/gbr.gi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http://mptf.undp.org/assets/images/002001.jpg" TargetMode="External"/><Relationship Id="rId34" Type="http://schemas.openxmlformats.org/officeDocument/2006/relationships/hyperlink" Target="http://mptf.undp.org/factsheet/fund/PK100" TargetMode="External"/><Relationship Id="rId7" Type="http://schemas.openxmlformats.org/officeDocument/2006/relationships/hyperlink" Target="http://mptf.undp.org" TargetMode="External"/><Relationship Id="rId12" Type="http://schemas.openxmlformats.org/officeDocument/2006/relationships/image" Target="http://mptf.undp.org/assets/images/002100.jpg" TargetMode="External"/><Relationship Id="rId17" Type="http://schemas.openxmlformats.org/officeDocument/2006/relationships/image" Target="http://mptf.undp.org/assets/images/001997.jpg" TargetMode="External"/><Relationship Id="rId25" Type="http://schemas.openxmlformats.org/officeDocument/2006/relationships/image" Target="http://mptf.undp.org/assets/images/flags_34/un1.gif" TargetMode="External"/><Relationship Id="rId33" Type="http://schemas.openxmlformats.org/officeDocument/2006/relationships/image" Target="http://mptf.undp.org/assets/managed/chart_521_20200513114753663.pn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mptf.undp.org/assets/images/001972.jpg" TargetMode="External"/><Relationship Id="rId20" Type="http://schemas.openxmlformats.org/officeDocument/2006/relationships/image" Target="http://mptf.undp.org/assets/images/001977.jpg" TargetMode="External"/><Relationship Id="rId29" Type="http://schemas.openxmlformats.org/officeDocument/2006/relationships/image" Target="http://mptf.undp.org/assets/images/flags_34/esp.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001968.jpg" TargetMode="External"/><Relationship Id="rId24" Type="http://schemas.openxmlformats.org/officeDocument/2006/relationships/image" Target="http://mptf.undp.org/assets/images/flags_34/aus.gif" TargetMode="External"/><Relationship Id="rId32" Type="http://schemas.openxmlformats.org/officeDocument/2006/relationships/hyperlink" Target="http://mptf.undp.org/factsheet/fund/PK100"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http://mptf.undp.org/assets/images/001995.jpg" TargetMode="External"/><Relationship Id="rId23" Type="http://schemas.openxmlformats.org/officeDocument/2006/relationships/image" Target="http://mptf.undp.org/assets/images/002066.jpg" TargetMode="External"/><Relationship Id="rId28" Type="http://schemas.openxmlformats.org/officeDocument/2006/relationships/image" Target="http://mptf.undp.org/assets/images/flags_34/nor.gif" TargetMode="External"/><Relationship Id="rId36" Type="http://schemas.openxmlformats.org/officeDocument/2006/relationships/hyperlink" Target="http://mptf.undp.org" TargetMode="External"/><Relationship Id="rId10" Type="http://schemas.openxmlformats.org/officeDocument/2006/relationships/image" Target="http://mptf.undp.org/assets/images/000794.jpg" TargetMode="External"/><Relationship Id="rId19" Type="http://schemas.openxmlformats.org/officeDocument/2006/relationships/image" Target="http://mptf.undp.org/assets/images/002000.jpg" TargetMode="External"/><Relationship Id="rId31" Type="http://schemas.openxmlformats.org/officeDocument/2006/relationships/hyperlink" Target="http://mptf.undp.org/factsheet/fund/PK100" TargetMode="External"/><Relationship Id="rId4" Type="http://schemas.openxmlformats.org/officeDocument/2006/relationships/webSettings" Target="webSettings.xml"/><Relationship Id="rId9" Type="http://schemas.openxmlformats.org/officeDocument/2006/relationships/image" Target="http://mptf.undp.org/assets/images/000722.jpg" TargetMode="External"/><Relationship Id="rId14" Type="http://schemas.openxmlformats.org/officeDocument/2006/relationships/image" Target="http://mptf.undp.org/assets/images/001994.jpg" TargetMode="External"/><Relationship Id="rId22" Type="http://schemas.openxmlformats.org/officeDocument/2006/relationships/image" Target="http://mptf.undp.org/assets/images/002065.jpg" TargetMode="External"/><Relationship Id="rId27" Type="http://schemas.openxmlformats.org/officeDocument/2006/relationships/image" Target="http://mptf.undp.org/assets/images/flags_34/nld.gif" TargetMode="External"/><Relationship Id="rId30" Type="http://schemas.openxmlformats.org/officeDocument/2006/relationships/image" Target="http://mptf.undp.org/assets/images/flags_34/che.gif" TargetMode="External"/><Relationship Id="rId35" Type="http://schemas.openxmlformats.org/officeDocument/2006/relationships/image" Target="http://mptf.undp.org/assets/managed/chart_512_net_20200513114753707.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3</cp:revision>
  <dcterms:created xsi:type="dcterms:W3CDTF">2020-05-30T01:22:00Z</dcterms:created>
  <dcterms:modified xsi:type="dcterms:W3CDTF">2020-05-30T01:30:00Z</dcterms:modified>
</cp:coreProperties>
</file>