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A0" w:rsidRPr="00937EBB" w:rsidRDefault="00A165B9" w:rsidP="005F5F7D">
      <w:pPr>
        <w:bidi w:val="0"/>
        <w:spacing w:after="0" w:line="240" w:lineRule="auto"/>
      </w:pPr>
      <w:r w:rsidRPr="00937EBB">
        <w:rPr>
          <w:rFonts w:ascii="Arial" w:hAnsi="Arial"/>
          <w:noProof/>
          <w:spacing w:val="-3"/>
          <w:sz w:val="20"/>
        </w:rPr>
        <w:drawing>
          <wp:anchor distT="0" distB="0" distL="114300" distR="114300" simplePos="0" relativeHeight="251661312" behindDoc="1" locked="0" layoutInCell="1" allowOverlap="1">
            <wp:simplePos x="0" y="0"/>
            <wp:positionH relativeFrom="column">
              <wp:posOffset>3921760</wp:posOffset>
            </wp:positionH>
            <wp:positionV relativeFrom="paragraph">
              <wp:posOffset>-353060</wp:posOffset>
            </wp:positionV>
            <wp:extent cx="1440180" cy="1090295"/>
            <wp:effectExtent l="19050" t="0" r="7620" b="0"/>
            <wp:wrapNone/>
            <wp:docPr id="3" name="Picture 1" descr="PBF_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F_triangle"/>
                    <pic:cNvPicPr>
                      <a:picLocks noChangeAspect="1" noChangeArrowheads="1"/>
                    </pic:cNvPicPr>
                  </pic:nvPicPr>
                  <pic:blipFill>
                    <a:blip r:embed="rId8" cstate="print"/>
                    <a:srcRect/>
                    <a:stretch>
                      <a:fillRect/>
                    </a:stretch>
                  </pic:blipFill>
                  <pic:spPr bwMode="auto">
                    <a:xfrm>
                      <a:off x="0" y="0"/>
                      <a:ext cx="1440180" cy="1090295"/>
                    </a:xfrm>
                    <a:prstGeom prst="rect">
                      <a:avLst/>
                    </a:prstGeom>
                    <a:noFill/>
                    <a:ln w="9525">
                      <a:noFill/>
                      <a:miter lim="800000"/>
                      <a:headEnd/>
                      <a:tailEnd/>
                    </a:ln>
                  </pic:spPr>
                </pic:pic>
              </a:graphicData>
            </a:graphic>
          </wp:anchor>
        </w:drawing>
      </w:r>
      <w:r w:rsidR="004407A0" w:rsidRPr="00937EBB">
        <w:rPr>
          <w:rFonts w:ascii="Arial" w:hAnsi="Arial"/>
          <w:noProof/>
          <w:spacing w:val="-3"/>
          <w:sz w:val="20"/>
        </w:rPr>
        <w:drawing>
          <wp:inline distT="0" distB="0" distL="0" distR="0">
            <wp:extent cx="1457325" cy="619125"/>
            <wp:effectExtent l="19050" t="0" r="9525" b="0"/>
            <wp:docPr id="1" name="Picture 1" descr="PBSO Logo English _smalle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SO Logo English _smallerCMYK"/>
                    <pic:cNvPicPr>
                      <a:picLocks noChangeAspect="1" noChangeArrowheads="1"/>
                    </pic:cNvPicPr>
                  </pic:nvPicPr>
                  <pic:blipFill>
                    <a:blip r:embed="rId9" cstate="print"/>
                    <a:srcRect/>
                    <a:stretch>
                      <a:fillRect/>
                    </a:stretch>
                  </pic:blipFill>
                  <pic:spPr bwMode="auto">
                    <a:xfrm>
                      <a:off x="0" y="0"/>
                      <a:ext cx="1457325" cy="619125"/>
                    </a:xfrm>
                    <a:prstGeom prst="rect">
                      <a:avLst/>
                    </a:prstGeom>
                    <a:noFill/>
                    <a:ln w="9525">
                      <a:noFill/>
                      <a:miter lim="800000"/>
                      <a:headEnd/>
                      <a:tailEnd/>
                    </a:ln>
                  </pic:spPr>
                </pic:pic>
              </a:graphicData>
            </a:graphic>
          </wp:inline>
        </w:drawing>
      </w:r>
    </w:p>
    <w:p w:rsidR="004407A0" w:rsidRPr="00937EBB" w:rsidRDefault="004407A0" w:rsidP="005F5F7D">
      <w:pPr>
        <w:bidi w:val="0"/>
        <w:spacing w:after="0" w:line="240" w:lineRule="auto"/>
        <w:rPr>
          <w:lang w:bidi="ar-YE"/>
        </w:rPr>
      </w:pPr>
    </w:p>
    <w:p w:rsidR="0049366C" w:rsidRPr="00937EBB" w:rsidRDefault="00A165B9" w:rsidP="005F5F7D">
      <w:pPr>
        <w:bidi w:val="0"/>
        <w:spacing w:after="0" w:line="240" w:lineRule="auto"/>
        <w:jc w:val="center"/>
        <w:rPr>
          <w:rFonts w:ascii="Calibri" w:hAnsi="Calibri" w:cs="Arial"/>
          <w:b/>
          <w:sz w:val="28"/>
        </w:rPr>
      </w:pPr>
      <w:r w:rsidRPr="00937EBB">
        <w:rPr>
          <w:rFonts w:ascii="Calibri" w:hAnsi="Calibri" w:cs="Arial"/>
          <w:b/>
          <w:sz w:val="28"/>
        </w:rPr>
        <w:t>PEACEBUILDING FUND</w:t>
      </w:r>
      <w:r w:rsidR="00B653CC" w:rsidRPr="00937EBB">
        <w:rPr>
          <w:rFonts w:ascii="Calibri" w:hAnsi="Calibri" w:cs="Arial"/>
          <w:b/>
          <w:sz w:val="28"/>
        </w:rPr>
        <w:t xml:space="preserve"> </w:t>
      </w:r>
    </w:p>
    <w:p w:rsidR="00B626E7" w:rsidRPr="00937EBB" w:rsidRDefault="00966C83" w:rsidP="00966C83">
      <w:pPr>
        <w:bidi w:val="0"/>
        <w:spacing w:after="0" w:line="240" w:lineRule="auto"/>
        <w:jc w:val="center"/>
        <w:rPr>
          <w:rFonts w:ascii="Calibri" w:hAnsi="Calibri" w:cs="Arial"/>
          <w:b/>
          <w:sz w:val="28"/>
        </w:rPr>
      </w:pPr>
      <w:bookmarkStart w:id="0" w:name="_GoBack"/>
      <w:r>
        <w:rPr>
          <w:rFonts w:ascii="Calibri" w:hAnsi="Calibri" w:cs="Arial"/>
          <w:b/>
          <w:sz w:val="28"/>
        </w:rPr>
        <w:t xml:space="preserve">Mid-Year </w:t>
      </w:r>
      <w:r w:rsidR="00B626E7" w:rsidRPr="00937EBB">
        <w:rPr>
          <w:rFonts w:ascii="Calibri" w:hAnsi="Calibri" w:cs="Arial"/>
          <w:b/>
          <w:sz w:val="28"/>
        </w:rPr>
        <w:t>Project Report</w:t>
      </w:r>
      <w:r w:rsidR="00937EBB" w:rsidRPr="00937EBB">
        <w:rPr>
          <w:rFonts w:ascii="Calibri" w:hAnsi="Calibri" w:cs="Arial"/>
          <w:b/>
          <w:sz w:val="28"/>
        </w:rPr>
        <w:t xml:space="preserve"> </w:t>
      </w:r>
      <w:bookmarkEnd w:id="0"/>
      <w:r w:rsidR="00937EBB" w:rsidRPr="00937EBB">
        <w:rPr>
          <w:rFonts w:ascii="Calibri" w:hAnsi="Calibri" w:cs="Arial"/>
          <w:b/>
          <w:sz w:val="28"/>
        </w:rPr>
        <w:t>(in compliance with program suspension)</w:t>
      </w:r>
    </w:p>
    <w:p w:rsidR="00D96699" w:rsidRPr="00937EBB" w:rsidRDefault="00D96699" w:rsidP="005F5F7D">
      <w:pPr>
        <w:bidi w:val="0"/>
        <w:spacing w:after="0" w:line="240" w:lineRule="auto"/>
        <w:jc w:val="both"/>
        <w:rPr>
          <w:b/>
          <w:bCs/>
          <w:lang w:bidi="ar-YE"/>
        </w:rPr>
      </w:pPr>
    </w:p>
    <w:p w:rsidR="00D96699" w:rsidRPr="00937EBB" w:rsidRDefault="00D96699" w:rsidP="005F5F7D">
      <w:pPr>
        <w:bidi w:val="0"/>
        <w:spacing w:after="0" w:line="240" w:lineRule="auto"/>
        <w:jc w:val="both"/>
        <w:rPr>
          <w:lang w:bidi="ar-YE"/>
        </w:rPr>
      </w:pPr>
    </w:p>
    <w:tbl>
      <w:tblPr>
        <w:tblStyle w:val="TableGrid"/>
        <w:tblW w:w="10619" w:type="dxa"/>
        <w:tblInd w:w="-431" w:type="dxa"/>
        <w:tblLook w:val="04A0" w:firstRow="1" w:lastRow="0" w:firstColumn="1" w:lastColumn="0" w:noHBand="0" w:noVBand="1"/>
      </w:tblPr>
      <w:tblGrid>
        <w:gridCol w:w="4949"/>
        <w:gridCol w:w="5670"/>
      </w:tblGrid>
      <w:tr w:rsidR="00C00B67" w:rsidRPr="00937EBB" w:rsidTr="00C00B67">
        <w:tc>
          <w:tcPr>
            <w:tcW w:w="10619" w:type="dxa"/>
            <w:gridSpan w:val="2"/>
          </w:tcPr>
          <w:p w:rsidR="00C00B67" w:rsidRPr="00C00B67" w:rsidRDefault="00C00B67" w:rsidP="00925B80">
            <w:pPr>
              <w:bidi w:val="0"/>
              <w:jc w:val="both"/>
              <w:rPr>
                <w:lang w:bidi="ar-YE"/>
              </w:rPr>
            </w:pPr>
            <w:r w:rsidRPr="00937EBB">
              <w:rPr>
                <w:b/>
                <w:bCs/>
                <w:lang w:bidi="ar-YE"/>
              </w:rPr>
              <w:t xml:space="preserve">Project Title: </w:t>
            </w:r>
            <w:r w:rsidR="00925B80">
              <w:t xml:space="preserve">Support to the Implementation of Transitional Justice Project in Yemen </w:t>
            </w:r>
          </w:p>
        </w:tc>
      </w:tr>
      <w:tr w:rsidR="00D96699" w:rsidRPr="00937EBB" w:rsidTr="00C00B67">
        <w:tc>
          <w:tcPr>
            <w:tcW w:w="10619" w:type="dxa"/>
            <w:gridSpan w:val="2"/>
          </w:tcPr>
          <w:p w:rsidR="00D96699" w:rsidRPr="00937EBB" w:rsidRDefault="00D96699" w:rsidP="00937EBB">
            <w:pPr>
              <w:pStyle w:val="Default"/>
              <w:rPr>
                <w:rFonts w:asciiTheme="minorHAnsi" w:hAnsiTheme="minorHAnsi"/>
                <w:sz w:val="22"/>
                <w:szCs w:val="22"/>
              </w:rPr>
            </w:pPr>
            <w:r w:rsidRPr="00937EBB">
              <w:rPr>
                <w:rFonts w:asciiTheme="minorHAnsi" w:hAnsiTheme="minorHAnsi" w:cstheme="minorBidi"/>
                <w:b/>
                <w:bCs/>
                <w:color w:val="auto"/>
                <w:sz w:val="22"/>
                <w:szCs w:val="22"/>
                <w:lang w:bidi="ar-YE"/>
              </w:rPr>
              <w:t>Priority Plan Outcome</w:t>
            </w:r>
            <w:r w:rsidR="006C1A77">
              <w:rPr>
                <w:rFonts w:asciiTheme="minorHAnsi" w:hAnsiTheme="minorHAnsi" w:cstheme="minorBidi"/>
                <w:color w:val="auto"/>
                <w:sz w:val="22"/>
                <w:szCs w:val="22"/>
                <w:lang w:bidi="ar-YE"/>
              </w:rPr>
              <w:t>:</w:t>
            </w:r>
            <w:r w:rsidR="006C1A77" w:rsidRPr="00F9108B">
              <w:rPr>
                <w:rFonts w:asciiTheme="minorHAnsi" w:hAnsiTheme="minorHAnsi" w:cstheme="minorBidi"/>
                <w:color w:val="auto"/>
                <w:sz w:val="22"/>
                <w:szCs w:val="22"/>
                <w:lang w:bidi="ar-YE"/>
              </w:rPr>
              <w:t xml:space="preserve"> Institutional frameworks address long-standing grievances and lay the basis for accountable institutions that respect and protect human rights</w:t>
            </w:r>
            <w:r w:rsidR="006C1A77" w:rsidRPr="00F9108B">
              <w:rPr>
                <w:rFonts w:asciiTheme="minorHAnsi" w:hAnsiTheme="minorHAnsi"/>
                <w:sz w:val="22"/>
                <w:szCs w:val="22"/>
              </w:rPr>
              <w:t>.</w:t>
            </w:r>
          </w:p>
        </w:tc>
      </w:tr>
      <w:tr w:rsidR="00F9108B" w:rsidRPr="00937EBB" w:rsidTr="00C00B67">
        <w:tc>
          <w:tcPr>
            <w:tcW w:w="4949" w:type="dxa"/>
          </w:tcPr>
          <w:p w:rsidR="00F9108B" w:rsidRPr="00937EBB" w:rsidRDefault="00F9108B" w:rsidP="005F5F7D">
            <w:pPr>
              <w:bidi w:val="0"/>
              <w:rPr>
                <w:lang w:bidi="ar-YE"/>
              </w:rPr>
            </w:pPr>
            <w:r w:rsidRPr="00937EBB">
              <w:rPr>
                <w:b/>
              </w:rPr>
              <w:t>Recipient UN Organizations</w:t>
            </w:r>
            <w:r w:rsidRPr="00937EBB">
              <w:rPr>
                <w:lang w:bidi="ar-YE"/>
              </w:rPr>
              <w:t xml:space="preserve">: </w:t>
            </w:r>
          </w:p>
          <w:p w:rsidR="00F9108B" w:rsidRPr="00937EBB" w:rsidRDefault="006C1A77" w:rsidP="005F5F7D">
            <w:pPr>
              <w:autoSpaceDE w:val="0"/>
              <w:autoSpaceDN w:val="0"/>
              <w:bidi w:val="0"/>
              <w:adjustRightInd w:val="0"/>
              <w:rPr>
                <w:lang w:bidi="ar-YE"/>
              </w:rPr>
            </w:pPr>
            <w:r w:rsidRPr="00F9108B">
              <w:rPr>
                <w:lang w:bidi="ar-YE"/>
              </w:rPr>
              <w:t>UNDP</w:t>
            </w:r>
          </w:p>
        </w:tc>
        <w:tc>
          <w:tcPr>
            <w:tcW w:w="5670" w:type="dxa"/>
          </w:tcPr>
          <w:p w:rsidR="00300D7F" w:rsidRPr="00937EBB" w:rsidRDefault="00F9108B" w:rsidP="005F5F7D">
            <w:pPr>
              <w:autoSpaceDE w:val="0"/>
              <w:autoSpaceDN w:val="0"/>
              <w:bidi w:val="0"/>
              <w:adjustRightInd w:val="0"/>
              <w:rPr>
                <w:lang w:bidi="ar-YE"/>
              </w:rPr>
            </w:pPr>
            <w:r w:rsidRPr="00937EBB">
              <w:rPr>
                <w:b/>
                <w:bCs/>
                <w:lang w:bidi="ar-YE"/>
              </w:rPr>
              <w:t>Project duration</w:t>
            </w:r>
            <w:r w:rsidRPr="00937EBB">
              <w:rPr>
                <w:lang w:bidi="ar-YE"/>
              </w:rPr>
              <w:t xml:space="preserve">: </w:t>
            </w:r>
            <w:r w:rsidR="006C1A77" w:rsidRPr="00F9108B">
              <w:rPr>
                <w:lang w:bidi="ar-YE"/>
              </w:rPr>
              <w:t>24 months.</w:t>
            </w:r>
          </w:p>
          <w:p w:rsidR="006C1A77" w:rsidRDefault="006C1A77" w:rsidP="006C1A77">
            <w:pPr>
              <w:autoSpaceDE w:val="0"/>
              <w:autoSpaceDN w:val="0"/>
              <w:bidi w:val="0"/>
              <w:adjustRightInd w:val="0"/>
              <w:rPr>
                <w:lang w:bidi="ar-YE"/>
              </w:rPr>
            </w:pPr>
            <w:r>
              <w:rPr>
                <w:lang w:bidi="ar-YE"/>
              </w:rPr>
              <w:t xml:space="preserve">Start Date: 25 July 2014 </w:t>
            </w:r>
          </w:p>
          <w:p w:rsidR="000A61F9" w:rsidRPr="00937EBB" w:rsidRDefault="006C1A77" w:rsidP="006C1A77">
            <w:pPr>
              <w:autoSpaceDE w:val="0"/>
              <w:autoSpaceDN w:val="0"/>
              <w:bidi w:val="0"/>
              <w:adjustRightInd w:val="0"/>
              <w:rPr>
                <w:b/>
                <w:bCs/>
                <w:lang w:bidi="ar-YE"/>
              </w:rPr>
            </w:pPr>
            <w:r>
              <w:rPr>
                <w:lang w:bidi="ar-YE"/>
              </w:rPr>
              <w:t>E</w:t>
            </w:r>
            <w:r w:rsidRPr="00F9108B">
              <w:rPr>
                <w:lang w:bidi="ar-YE"/>
              </w:rPr>
              <w:t xml:space="preserve">nd date: </w:t>
            </w:r>
            <w:r>
              <w:rPr>
                <w:lang w:bidi="ar-YE"/>
              </w:rPr>
              <w:t xml:space="preserve">24 </w:t>
            </w:r>
            <w:r w:rsidRPr="00F9108B">
              <w:rPr>
                <w:lang w:bidi="ar-YE"/>
              </w:rPr>
              <w:t>July 2016</w:t>
            </w:r>
          </w:p>
        </w:tc>
      </w:tr>
      <w:tr w:rsidR="00D96699" w:rsidRPr="00937EBB" w:rsidTr="00C00B67">
        <w:tc>
          <w:tcPr>
            <w:tcW w:w="4949" w:type="dxa"/>
          </w:tcPr>
          <w:p w:rsidR="00F9108B" w:rsidRPr="00937EBB" w:rsidRDefault="00F9108B" w:rsidP="005F5F7D">
            <w:pPr>
              <w:autoSpaceDE w:val="0"/>
              <w:autoSpaceDN w:val="0"/>
              <w:bidi w:val="0"/>
              <w:adjustRightInd w:val="0"/>
              <w:rPr>
                <w:rFonts w:cs="Times-Bold"/>
                <w:b/>
                <w:bCs/>
                <w:sz w:val="23"/>
                <w:szCs w:val="23"/>
              </w:rPr>
            </w:pPr>
            <w:r w:rsidRPr="00937EBB">
              <w:rPr>
                <w:rFonts w:cs="Times-Bold"/>
                <w:b/>
                <w:bCs/>
                <w:sz w:val="23"/>
                <w:szCs w:val="23"/>
              </w:rPr>
              <w:t xml:space="preserve">Total Project Cost: </w:t>
            </w:r>
            <w:r w:rsidR="006C1A77" w:rsidRPr="00F9108B">
              <w:rPr>
                <w:rFonts w:cs="Times-Bold"/>
                <w:b/>
                <w:bCs/>
                <w:sz w:val="23"/>
                <w:szCs w:val="23"/>
              </w:rPr>
              <w:t>$6,986,179</w:t>
            </w:r>
          </w:p>
          <w:p w:rsidR="00F9108B" w:rsidRPr="00937EBB" w:rsidRDefault="00445FAF" w:rsidP="005F5F7D">
            <w:pPr>
              <w:autoSpaceDE w:val="0"/>
              <w:autoSpaceDN w:val="0"/>
              <w:bidi w:val="0"/>
              <w:adjustRightInd w:val="0"/>
              <w:rPr>
                <w:rFonts w:cs="Times-Roman"/>
                <w:sz w:val="21"/>
                <w:szCs w:val="21"/>
              </w:rPr>
            </w:pPr>
            <w:r w:rsidRPr="00937EBB">
              <w:rPr>
                <w:rFonts w:cs="Times-Roman"/>
                <w:sz w:val="21"/>
                <w:szCs w:val="21"/>
              </w:rPr>
              <w:t>Peacebuilding Fund</w:t>
            </w:r>
            <w:r w:rsidR="00F9108B" w:rsidRPr="00937EBB">
              <w:rPr>
                <w:rFonts w:cs="Times-Roman"/>
                <w:sz w:val="21"/>
                <w:szCs w:val="21"/>
              </w:rPr>
              <w:t xml:space="preserve">: </w:t>
            </w:r>
            <w:r w:rsidR="006C1A77" w:rsidRPr="00445FAF">
              <w:rPr>
                <w:rFonts w:cs="Times-Roman"/>
                <w:sz w:val="21"/>
                <w:szCs w:val="21"/>
              </w:rPr>
              <w:t>$ 1,000,000</w:t>
            </w:r>
          </w:p>
          <w:p w:rsidR="00F9108B" w:rsidRPr="00937EBB" w:rsidRDefault="00F9108B" w:rsidP="006C1A77">
            <w:pPr>
              <w:autoSpaceDE w:val="0"/>
              <w:autoSpaceDN w:val="0"/>
              <w:bidi w:val="0"/>
              <w:adjustRightInd w:val="0"/>
              <w:rPr>
                <w:rFonts w:cs="Times-Roman"/>
                <w:sz w:val="21"/>
                <w:szCs w:val="21"/>
              </w:rPr>
            </w:pPr>
            <w:r w:rsidRPr="00937EBB">
              <w:rPr>
                <w:rFonts w:cs="Times-Roman"/>
                <w:sz w:val="21"/>
                <w:szCs w:val="21"/>
              </w:rPr>
              <w:t xml:space="preserve">Government Input: </w:t>
            </w:r>
            <w:r w:rsidR="006C1A77" w:rsidRPr="00445FAF">
              <w:rPr>
                <w:rFonts w:cs="Times-Roman"/>
                <w:sz w:val="21"/>
                <w:szCs w:val="21"/>
              </w:rPr>
              <w:t>: in kind</w:t>
            </w:r>
          </w:p>
          <w:p w:rsidR="006C1A77" w:rsidRPr="00445FAF" w:rsidRDefault="00F9108B" w:rsidP="006C1A77">
            <w:pPr>
              <w:autoSpaceDE w:val="0"/>
              <w:autoSpaceDN w:val="0"/>
              <w:bidi w:val="0"/>
              <w:adjustRightInd w:val="0"/>
              <w:rPr>
                <w:rFonts w:cs="Times-Roman"/>
                <w:sz w:val="21"/>
                <w:szCs w:val="21"/>
              </w:rPr>
            </w:pPr>
            <w:r w:rsidRPr="000A61F9">
              <w:rPr>
                <w:rFonts w:cs="Times-Roman"/>
                <w:sz w:val="21"/>
                <w:szCs w:val="21"/>
              </w:rPr>
              <w:t>Other:</w:t>
            </w:r>
            <w:r w:rsidR="000A61F9" w:rsidRPr="000A61F9">
              <w:rPr>
                <w:rFonts w:cs="Times-Roman"/>
                <w:sz w:val="21"/>
                <w:szCs w:val="21"/>
              </w:rPr>
              <w:t xml:space="preserve"> </w:t>
            </w:r>
            <w:r w:rsidR="006C1A77" w:rsidRPr="00445FAF">
              <w:rPr>
                <w:rFonts w:cs="Times-Roman"/>
                <w:sz w:val="21"/>
                <w:szCs w:val="21"/>
              </w:rPr>
              <w:t>the Netherlands $ 754,876</w:t>
            </w:r>
          </w:p>
          <w:p w:rsidR="006C1A77" w:rsidRPr="00445FAF" w:rsidRDefault="006C1A77" w:rsidP="006C1A77">
            <w:pPr>
              <w:autoSpaceDE w:val="0"/>
              <w:autoSpaceDN w:val="0"/>
              <w:bidi w:val="0"/>
              <w:adjustRightInd w:val="0"/>
              <w:rPr>
                <w:rFonts w:cs="Times-Roman"/>
                <w:sz w:val="21"/>
                <w:szCs w:val="21"/>
              </w:rPr>
            </w:pPr>
            <w:r w:rsidRPr="00445FAF">
              <w:rPr>
                <w:rFonts w:cs="Times-Roman"/>
                <w:sz w:val="21"/>
                <w:szCs w:val="21"/>
              </w:rPr>
              <w:t>EU Commission: $ 1,340,482</w:t>
            </w:r>
          </w:p>
          <w:p w:rsidR="006C1A77" w:rsidRPr="00445FAF" w:rsidRDefault="006C1A77" w:rsidP="006C1A77">
            <w:pPr>
              <w:autoSpaceDE w:val="0"/>
              <w:autoSpaceDN w:val="0"/>
              <w:bidi w:val="0"/>
              <w:adjustRightInd w:val="0"/>
              <w:rPr>
                <w:rFonts w:cs="Times-Roman"/>
                <w:sz w:val="21"/>
                <w:szCs w:val="21"/>
              </w:rPr>
            </w:pPr>
            <w:r w:rsidRPr="00445FAF">
              <w:rPr>
                <w:rFonts w:cs="Times-Roman"/>
                <w:sz w:val="21"/>
                <w:szCs w:val="21"/>
              </w:rPr>
              <w:t>OHCHR: $50,000</w:t>
            </w:r>
          </w:p>
          <w:p w:rsidR="006C1A77" w:rsidRPr="00445FAF" w:rsidRDefault="006C1A77" w:rsidP="006C1A77">
            <w:pPr>
              <w:autoSpaceDE w:val="0"/>
              <w:autoSpaceDN w:val="0"/>
              <w:bidi w:val="0"/>
              <w:adjustRightInd w:val="0"/>
              <w:rPr>
                <w:rFonts w:cs="Times-Roman"/>
                <w:sz w:val="21"/>
                <w:szCs w:val="21"/>
              </w:rPr>
            </w:pPr>
            <w:r w:rsidRPr="00445FAF">
              <w:rPr>
                <w:rFonts w:cs="Times-Roman"/>
                <w:sz w:val="21"/>
                <w:szCs w:val="21"/>
              </w:rPr>
              <w:t>SIDA: $ 2,133,821</w:t>
            </w:r>
          </w:p>
          <w:p w:rsidR="00F9108B" w:rsidRDefault="006C1A77" w:rsidP="006C1A77">
            <w:pPr>
              <w:autoSpaceDE w:val="0"/>
              <w:autoSpaceDN w:val="0"/>
              <w:bidi w:val="0"/>
              <w:adjustRightInd w:val="0"/>
              <w:rPr>
                <w:rFonts w:cs="Times-Roman"/>
                <w:sz w:val="21"/>
                <w:szCs w:val="21"/>
              </w:rPr>
            </w:pPr>
            <w:r w:rsidRPr="00445FAF">
              <w:rPr>
                <w:rFonts w:cs="Times-Roman"/>
                <w:sz w:val="21"/>
                <w:szCs w:val="21"/>
              </w:rPr>
              <w:t>Government of Japan: $ 1,000,000</w:t>
            </w:r>
            <w:r w:rsidRPr="00445FAF">
              <w:rPr>
                <w:lang w:bidi="ar-YE"/>
              </w:rPr>
              <w:t>.</w:t>
            </w:r>
          </w:p>
          <w:p w:rsidR="006C1A77" w:rsidRPr="00445FAF" w:rsidRDefault="006C1A77" w:rsidP="006C1A77">
            <w:pPr>
              <w:autoSpaceDE w:val="0"/>
              <w:autoSpaceDN w:val="0"/>
              <w:bidi w:val="0"/>
              <w:adjustRightInd w:val="0"/>
              <w:rPr>
                <w:rFonts w:cs="Times-Roman"/>
                <w:sz w:val="21"/>
                <w:szCs w:val="21"/>
              </w:rPr>
            </w:pPr>
            <w:r w:rsidRPr="00445FAF">
              <w:rPr>
                <w:rFonts w:cs="Times-Roman"/>
                <w:sz w:val="21"/>
                <w:szCs w:val="21"/>
              </w:rPr>
              <w:t>UNDP BCPR: $500,000</w:t>
            </w:r>
          </w:p>
          <w:p w:rsidR="006C1A77" w:rsidRPr="00937EBB" w:rsidRDefault="006C1A77" w:rsidP="006C1A77">
            <w:pPr>
              <w:autoSpaceDE w:val="0"/>
              <w:autoSpaceDN w:val="0"/>
              <w:bidi w:val="0"/>
              <w:adjustRightInd w:val="0"/>
              <w:rPr>
                <w:rFonts w:cs="Times-Roman"/>
                <w:sz w:val="21"/>
                <w:szCs w:val="21"/>
              </w:rPr>
            </w:pPr>
            <w:r w:rsidRPr="00445FAF">
              <w:rPr>
                <w:rFonts w:cs="Times-Roman"/>
                <w:sz w:val="21"/>
                <w:szCs w:val="21"/>
              </w:rPr>
              <w:t>UNDP TRAC: $ 207,000</w:t>
            </w:r>
          </w:p>
          <w:p w:rsidR="00F9108B" w:rsidRPr="00937EBB" w:rsidRDefault="00F9108B" w:rsidP="00445FAF">
            <w:pPr>
              <w:bidi w:val="0"/>
              <w:rPr>
                <w:lang w:bidi="ar-YE"/>
              </w:rPr>
            </w:pPr>
          </w:p>
        </w:tc>
        <w:tc>
          <w:tcPr>
            <w:tcW w:w="5670" w:type="dxa"/>
          </w:tcPr>
          <w:p w:rsidR="00937EBB" w:rsidRPr="00937EBB" w:rsidRDefault="00D96699" w:rsidP="00937EBB">
            <w:pPr>
              <w:autoSpaceDE w:val="0"/>
              <w:autoSpaceDN w:val="0"/>
              <w:bidi w:val="0"/>
              <w:adjustRightInd w:val="0"/>
              <w:rPr>
                <w:rFonts w:cs="Times-Roman"/>
                <w:sz w:val="21"/>
                <w:szCs w:val="21"/>
              </w:rPr>
            </w:pPr>
            <w:r w:rsidRPr="00937EBB">
              <w:rPr>
                <w:b/>
                <w:bCs/>
                <w:lang w:bidi="ar-YE"/>
              </w:rPr>
              <w:t>Implementing Partners</w:t>
            </w:r>
            <w:r w:rsidRPr="00937EBB">
              <w:rPr>
                <w:lang w:bidi="ar-YE"/>
              </w:rPr>
              <w:t xml:space="preserve">: </w:t>
            </w:r>
          </w:p>
          <w:p w:rsidR="006C1A77" w:rsidRPr="00F9108B" w:rsidRDefault="006C1A77" w:rsidP="006C1A77">
            <w:pPr>
              <w:autoSpaceDE w:val="0"/>
              <w:autoSpaceDN w:val="0"/>
              <w:bidi w:val="0"/>
              <w:adjustRightInd w:val="0"/>
              <w:rPr>
                <w:rFonts w:cs="Times-Roman"/>
                <w:sz w:val="21"/>
                <w:szCs w:val="21"/>
              </w:rPr>
            </w:pPr>
            <w:r w:rsidRPr="00F9108B">
              <w:rPr>
                <w:rFonts w:cs="Times-Roman"/>
                <w:sz w:val="21"/>
                <w:szCs w:val="21"/>
              </w:rPr>
              <w:t>The President’s Office, Ministry of Legal Affairs (MoLA), Ministry of Planning and International</w:t>
            </w:r>
          </w:p>
          <w:p w:rsidR="00D96699" w:rsidRPr="00937EBB" w:rsidRDefault="006C1A77" w:rsidP="006C1A77">
            <w:pPr>
              <w:autoSpaceDE w:val="0"/>
              <w:autoSpaceDN w:val="0"/>
              <w:bidi w:val="0"/>
              <w:adjustRightInd w:val="0"/>
              <w:rPr>
                <w:rFonts w:cs="Times-Roman"/>
                <w:sz w:val="21"/>
                <w:szCs w:val="21"/>
              </w:rPr>
            </w:pPr>
            <w:r w:rsidRPr="00F9108B">
              <w:rPr>
                <w:rFonts w:cs="Times-Roman"/>
                <w:sz w:val="21"/>
                <w:szCs w:val="21"/>
              </w:rPr>
              <w:t>Cooperation (MoPIC), Independent National Human Rights Institution (INHRI), Justice and National Reconciliation Commission (JNRC)</w:t>
            </w:r>
            <w:r w:rsidRPr="00F9108B">
              <w:rPr>
                <w:rFonts w:cs="Times-Roman"/>
                <w:sz w:val="23"/>
                <w:szCs w:val="23"/>
              </w:rPr>
              <w:t>1</w:t>
            </w:r>
            <w:r w:rsidRPr="00F9108B">
              <w:rPr>
                <w:rFonts w:cs="Times-Roman"/>
                <w:sz w:val="21"/>
                <w:szCs w:val="21"/>
              </w:rPr>
              <w:t>, Commission of Inquiry (CoI) into events of 2011, the Commission to Consider and Address Land Issues (Land Commission) and the Commission on Forcibly Dismissed Employees (Forced Dismissals Commission)or similar entities that may be formed, Office of High Commissioner for Human Rights (OHCHR), and CSOs</w:t>
            </w:r>
          </w:p>
        </w:tc>
      </w:tr>
    </w:tbl>
    <w:p w:rsidR="00D96699" w:rsidRPr="00937EBB" w:rsidRDefault="00D96699" w:rsidP="005F5F7D">
      <w:pPr>
        <w:bidi w:val="0"/>
        <w:spacing w:after="0" w:line="240" w:lineRule="auto"/>
        <w:jc w:val="both"/>
        <w:rPr>
          <w:b/>
          <w:bCs/>
          <w:lang w:bidi="ar-YE"/>
        </w:rPr>
      </w:pPr>
    </w:p>
    <w:p w:rsidR="000C0AE6" w:rsidRPr="00937EBB" w:rsidRDefault="000C0AE6" w:rsidP="00937EBB">
      <w:pPr>
        <w:bidi w:val="0"/>
        <w:spacing w:after="0" w:line="240" w:lineRule="auto"/>
        <w:ind w:left="360"/>
        <w:jc w:val="both"/>
        <w:rPr>
          <w:b/>
          <w:bCs/>
          <w:lang w:bidi="ar-YE"/>
        </w:rPr>
      </w:pPr>
    </w:p>
    <w:p w:rsidR="00C00B67" w:rsidRDefault="009809C0" w:rsidP="00C00B67">
      <w:pPr>
        <w:pStyle w:val="ListParagraph"/>
        <w:numPr>
          <w:ilvl w:val="0"/>
          <w:numId w:val="4"/>
        </w:numPr>
        <w:spacing w:after="0" w:line="240" w:lineRule="auto"/>
        <w:ind w:left="360" w:firstLine="0"/>
        <w:rPr>
          <w:b/>
          <w:bCs/>
          <w:lang w:bidi="ar-YE"/>
        </w:rPr>
      </w:pPr>
      <w:r>
        <w:rPr>
          <w:b/>
          <w:bCs/>
          <w:lang w:bidi="ar-YE"/>
        </w:rPr>
        <w:t>Brief s</w:t>
      </w:r>
      <w:r w:rsidR="008379EA" w:rsidRPr="00937EBB">
        <w:rPr>
          <w:b/>
          <w:bCs/>
          <w:lang w:bidi="ar-YE"/>
        </w:rPr>
        <w:t>ummary of the project status and key results</w:t>
      </w:r>
      <w:r>
        <w:rPr>
          <w:b/>
          <w:bCs/>
          <w:lang w:bidi="ar-YE"/>
        </w:rPr>
        <w:t xml:space="preserve"> as of 31 March 2015.</w:t>
      </w:r>
    </w:p>
    <w:p w:rsidR="000A61F9" w:rsidRPr="000A61F9" w:rsidRDefault="000A61F9" w:rsidP="000A61F9">
      <w:pPr>
        <w:bidi w:val="0"/>
        <w:spacing w:after="0" w:line="240" w:lineRule="auto"/>
        <w:ind w:left="360"/>
        <w:rPr>
          <w:b/>
          <w:bCs/>
          <w:lang w:bidi="ar-YE"/>
        </w:rPr>
      </w:pPr>
    </w:p>
    <w:p w:rsidR="006C1A77" w:rsidRDefault="006C1A77" w:rsidP="006C1A77">
      <w:pPr>
        <w:spacing w:after="0" w:line="240" w:lineRule="auto"/>
        <w:ind w:left="360"/>
        <w:jc w:val="both"/>
      </w:pPr>
      <w:r>
        <w:t>D</w:t>
      </w:r>
      <w:r w:rsidRPr="00321626">
        <w:t>uring 2014</w:t>
      </w:r>
      <w:r>
        <w:t>,</w:t>
      </w:r>
      <w:r w:rsidRPr="00321626">
        <w:t xml:space="preserve"> </w:t>
      </w:r>
      <w:r>
        <w:t xml:space="preserve">the </w:t>
      </w:r>
      <w:r w:rsidRPr="00321626">
        <w:t>security and political situation continuously deteriorat</w:t>
      </w:r>
      <w:r>
        <w:t>ed</w:t>
      </w:r>
      <w:r w:rsidRPr="00321626">
        <w:t>,</w:t>
      </w:r>
      <w:r>
        <w:t xml:space="preserve"> </w:t>
      </w:r>
      <w:r w:rsidRPr="00321626">
        <w:t xml:space="preserve">due to </w:t>
      </w:r>
      <w:r>
        <w:t xml:space="preserve">the </w:t>
      </w:r>
      <w:r w:rsidRPr="00321626">
        <w:t>strong dissatisfaction of citizens because of</w:t>
      </w:r>
      <w:r>
        <w:t xml:space="preserve"> the</w:t>
      </w:r>
      <w:r w:rsidRPr="00321626">
        <w:t xml:space="preserve"> slow pace of reforms</w:t>
      </w:r>
      <w:r>
        <w:t xml:space="preserve"> and </w:t>
      </w:r>
      <w:r w:rsidRPr="00D540CC">
        <w:t xml:space="preserve">armed expansion of the Al-Houthi movement (Ansarallah), who after an open armed clashes took control of capital Sana’a in September 2014. Despite the signing of the </w:t>
      </w:r>
      <w:r w:rsidRPr="000C0AE6">
        <w:rPr>
          <w:i/>
        </w:rPr>
        <w:t xml:space="preserve">Peace and National Partnership Agreement </w:t>
      </w:r>
      <w:r w:rsidRPr="00D540CC">
        <w:t>on 21 September (PNP</w:t>
      </w:r>
      <w:r>
        <w:t>A</w:t>
      </w:r>
      <w:r w:rsidRPr="00D540CC">
        <w:t>) by the Houthis and all political parties and formation of the new Cabinet</w:t>
      </w:r>
      <w:r>
        <w:t>,</w:t>
      </w:r>
      <w:r w:rsidRPr="00D540CC">
        <w:t xml:space="preserve"> the Houthis continued to exercise control over security and government ins</w:t>
      </w:r>
      <w:r w:rsidRPr="00C07FF4">
        <w:t xml:space="preserve">titutions in Sana’a and to expand their </w:t>
      </w:r>
      <w:r>
        <w:t>military</w:t>
      </w:r>
      <w:r w:rsidRPr="00C07FF4">
        <w:t xml:space="preserve"> presence in other governorates triggering conflict</w:t>
      </w:r>
      <w:r>
        <w:t>s</w:t>
      </w:r>
      <w:r w:rsidRPr="00C07FF4">
        <w:t xml:space="preserve"> with local tribes a</w:t>
      </w:r>
      <w:r>
        <w:t>s well as</w:t>
      </w:r>
      <w:r w:rsidRPr="00C07FF4">
        <w:t xml:space="preserve"> retaliatory AQAP attacks.</w:t>
      </w:r>
      <w:r w:rsidRPr="00D540CC">
        <w:t xml:space="preserve"> </w:t>
      </w:r>
    </w:p>
    <w:p w:rsidR="006C1A77" w:rsidRDefault="006C1A77" w:rsidP="006C1A77">
      <w:pPr>
        <w:spacing w:after="0" w:line="240" w:lineRule="auto"/>
        <w:ind w:left="360"/>
        <w:jc w:val="both"/>
      </w:pPr>
    </w:p>
    <w:p w:rsidR="006C1A77" w:rsidRPr="000C0AE6" w:rsidRDefault="006C1A77" w:rsidP="006C1A77">
      <w:pPr>
        <w:spacing w:after="0" w:line="240" w:lineRule="auto"/>
        <w:ind w:left="360"/>
        <w:jc w:val="both"/>
        <w:rPr>
          <w:color w:val="FF0000"/>
        </w:rPr>
      </w:pPr>
      <w:r w:rsidRPr="00786DB3">
        <w:rPr>
          <w:rFonts w:ascii="Calibri" w:hAnsi="Calibri" w:cs="Times New Roman"/>
        </w:rPr>
        <w:t>In January 2015, conflict over a draft constitution, as well as control over state institutions, led the Houthis to consolidate control in the capital, precipitating the 22 January resignation of the Prime Minister and President; the latter subsequently fled to Aden and retracted his resignation, and in due course to the Kingdom of Saudi Arabia. In the following weeks, continued expansion of Houthis towards Southern Yemen, as well as regional tensions between Iran and Saudi Arabia, set off a serious of localized conflicts with Houthi opponents, escalating dramatically in Lahj and around Aden in mid-March. On 26 March, the Gulf Cooperation Council (GCC) launched airstrikes against Houthi targets, acting on the invitation of President Hadi, in coordination with other, mostly Arab states, with the stated aim to stop the Houthi advance and restore President Hadi’s government. Subsequently, President Hadi has formed a government in exile in Riyadh which is composed of eight proto ministers and the Vice President.</w:t>
      </w:r>
    </w:p>
    <w:p w:rsidR="006C1A77" w:rsidRDefault="006C1A77" w:rsidP="006C1A77">
      <w:pPr>
        <w:spacing w:after="0" w:line="240" w:lineRule="auto"/>
        <w:rPr>
          <w:rtl/>
          <w:lang w:bidi="ar-YE"/>
        </w:rPr>
      </w:pPr>
    </w:p>
    <w:p w:rsidR="006C1A77" w:rsidRPr="00F64560" w:rsidRDefault="006C1A77" w:rsidP="006C1A77">
      <w:pPr>
        <w:spacing w:after="0" w:line="240" w:lineRule="auto"/>
        <w:jc w:val="right"/>
        <w:rPr>
          <w:iCs/>
        </w:rPr>
      </w:pPr>
      <w:r w:rsidRPr="00F64560">
        <w:rPr>
          <w:iCs/>
        </w:rPr>
        <w:lastRenderedPageBreak/>
        <w:t>Despite the challenging political and security situation, the project achieved a number of important results:</w:t>
      </w:r>
    </w:p>
    <w:p w:rsidR="006C1A77" w:rsidRPr="00F64560" w:rsidRDefault="006C1A77" w:rsidP="006C1A77">
      <w:pPr>
        <w:bidi w:val="0"/>
        <w:spacing w:after="0" w:line="240" w:lineRule="auto"/>
        <w:jc w:val="both"/>
        <w:rPr>
          <w:iCs/>
        </w:rPr>
      </w:pPr>
    </w:p>
    <w:p w:rsidR="006C1A77" w:rsidRPr="002E34F1" w:rsidRDefault="006C1A77" w:rsidP="006C1A77">
      <w:pPr>
        <w:pStyle w:val="ListParagraph"/>
        <w:numPr>
          <w:ilvl w:val="0"/>
          <w:numId w:val="1"/>
        </w:numPr>
        <w:spacing w:after="0" w:line="240" w:lineRule="auto"/>
        <w:jc w:val="both"/>
      </w:pPr>
      <w:r w:rsidRPr="00F64560">
        <w:rPr>
          <w:b/>
          <w:bCs/>
        </w:rPr>
        <w:t>Land and Dismissals Commissions in Southern Governorates</w:t>
      </w:r>
      <w:r w:rsidRPr="00F64560">
        <w:t xml:space="preserve">: The Land Commission finalized 30% (30,000) of submitted </w:t>
      </w:r>
      <w:r>
        <w:t>cases</w:t>
      </w:r>
      <w:r w:rsidRPr="00F64560">
        <w:t xml:space="preserve"> and the Dismissals Commission finalized 20% (20,000 cases) of submitted </w:t>
      </w:r>
      <w:r>
        <w:t>cases</w:t>
      </w:r>
      <w:r w:rsidRPr="00F64560">
        <w:t xml:space="preserve">. </w:t>
      </w:r>
      <w:r w:rsidRPr="002E34F1">
        <w:t xml:space="preserve">5,547 dismissed individuals were compensated with one time lump sum payment ranging 100,000 YR (around $ 500), after </w:t>
      </w:r>
      <w:r>
        <w:t xml:space="preserve">the project </w:t>
      </w:r>
      <w:r w:rsidRPr="002E34F1">
        <w:t>provided technical support to the Compensations Fund.</w:t>
      </w:r>
    </w:p>
    <w:p w:rsidR="006C1A77" w:rsidRPr="00F64560" w:rsidRDefault="006C1A77" w:rsidP="006C1A77">
      <w:pPr>
        <w:pStyle w:val="ListParagraph"/>
        <w:numPr>
          <w:ilvl w:val="0"/>
          <w:numId w:val="1"/>
        </w:numPr>
        <w:spacing w:after="0" w:line="240" w:lineRule="auto"/>
        <w:jc w:val="both"/>
      </w:pPr>
      <w:r w:rsidRPr="00F64560">
        <w:rPr>
          <w:b/>
          <w:bCs/>
        </w:rPr>
        <w:t>Consultation process on the TJ Law:</w:t>
      </w:r>
      <w:r w:rsidRPr="00F64560">
        <w:t xml:space="preserve"> More than 400 people participated in the consultation process on the TJ Law (CSOs, Government of Yemen, excluded groups, minorities, tribesmen, religious leaders, Houthis, victims of torture, disappearance etc.). More than 100 recommendations taken from the consultation process were inserted in the draft TJ Law. </w:t>
      </w:r>
      <w:r>
        <w:t xml:space="preserve">That was the first time in history of Yemen that citizens were directly involved in consultation process on a legal document and that their recommendations were inserted in a draft law.  </w:t>
      </w:r>
    </w:p>
    <w:p w:rsidR="006C1A77" w:rsidRPr="00F64560" w:rsidRDefault="006C1A77" w:rsidP="006C1A77">
      <w:pPr>
        <w:pStyle w:val="ListParagraph"/>
        <w:numPr>
          <w:ilvl w:val="0"/>
          <w:numId w:val="1"/>
        </w:numPr>
        <w:spacing w:after="0" w:line="240" w:lineRule="auto"/>
        <w:jc w:val="both"/>
      </w:pPr>
      <w:r w:rsidRPr="00F64560">
        <w:rPr>
          <w:b/>
          <w:bCs/>
        </w:rPr>
        <w:t>CSOs</w:t>
      </w:r>
      <w:r w:rsidRPr="00F64560">
        <w:t>: TJ CSOs strategy was created and approved by the Ministry of Legal Affairs; 280 CSOs were trained in transitional justice, conflict resolution and reconciliation techniques. Out of 280 trained CSOs, 131 applied to became partners of UNDP</w:t>
      </w:r>
      <w:r>
        <w:t>/OHCHR</w:t>
      </w:r>
      <w:r w:rsidRPr="00F64560">
        <w:t xml:space="preserve">, to implement activities in local communities; out of 131 CSOs which applied to become partners of </w:t>
      </w:r>
      <w:r>
        <w:t>UNDP/OHCHR</w:t>
      </w:r>
      <w:r w:rsidRPr="00F64560">
        <w:t>, 3</w:t>
      </w:r>
      <w:r>
        <w:t>1</w:t>
      </w:r>
      <w:r w:rsidRPr="00F64560">
        <w:t xml:space="preserve"> were shortlisted to be further trained in transitional justice. Out of 131 applied to become partners of </w:t>
      </w:r>
      <w:r>
        <w:t>UNDP/OHCHR</w:t>
      </w:r>
      <w:r w:rsidRPr="00F64560">
        <w:t xml:space="preserve">, around 60 organizations implemented TJ related projects/activities in 2014, </w:t>
      </w:r>
      <w:r>
        <w:t xml:space="preserve">as direct impact of the project’s technical </w:t>
      </w:r>
      <w:r w:rsidRPr="00F64560">
        <w:t>suppor</w:t>
      </w:r>
      <w:r>
        <w:t xml:space="preserve">t (through trainings and consultation process on the TJ Law). Also, the project’s support contributed to creation of (still unofficial) TJ CSOs coalition from the core CSOs (31) who are programmatically interested in transitional justice and which the project will create partnership with.    </w:t>
      </w:r>
    </w:p>
    <w:p w:rsidR="006C1A77" w:rsidRPr="003A5A3E" w:rsidRDefault="006C1A77" w:rsidP="006C1A77">
      <w:pPr>
        <w:pStyle w:val="ListParagraph"/>
        <w:spacing w:after="0" w:line="240" w:lineRule="auto"/>
        <w:jc w:val="both"/>
      </w:pPr>
      <w:r w:rsidRPr="00F64560">
        <w:t xml:space="preserve"> </w:t>
      </w:r>
    </w:p>
    <w:p w:rsidR="006C1A77" w:rsidRDefault="006C1A77" w:rsidP="006C1A77">
      <w:pPr>
        <w:spacing w:after="0" w:line="240" w:lineRule="auto"/>
        <w:jc w:val="both"/>
        <w:rPr>
          <w:rFonts w:eastAsiaTheme="minorEastAsia"/>
          <w:rtl/>
          <w:lang w:eastAsia="en-GB" w:bidi="ar-YE"/>
        </w:rPr>
      </w:pPr>
      <w:r w:rsidRPr="00F64560">
        <w:rPr>
          <w:rFonts w:eastAsiaTheme="minorEastAsia" w:cs="Arial"/>
          <w:lang w:eastAsia="en-GB"/>
        </w:rPr>
        <w:t>The project overcame above</w:t>
      </w:r>
      <w:r>
        <w:rPr>
          <w:rFonts w:eastAsiaTheme="minorEastAsia" w:cs="Arial"/>
          <w:lang w:eastAsia="en-GB"/>
        </w:rPr>
        <w:t>-</w:t>
      </w:r>
      <w:r w:rsidRPr="00F64560">
        <w:rPr>
          <w:rFonts w:eastAsiaTheme="minorEastAsia" w:cs="Arial"/>
          <w:lang w:eastAsia="en-GB"/>
        </w:rPr>
        <w:t xml:space="preserve">mentioned challenges by mobilizing support of </w:t>
      </w:r>
      <w:r w:rsidRPr="00F64560">
        <w:rPr>
          <w:rFonts w:cs="Arial"/>
        </w:rPr>
        <w:t xml:space="preserve">international partners, including embassies (Embassies of Germany, the Netherlands, Japan, UK, etc.) and international organizations (UNOPS, OSASG, DPA, OHCHR, IOM, EU, SIDA, etc.), interested in transitional justice. </w:t>
      </w:r>
      <w:r w:rsidRPr="00F64560">
        <w:t xml:space="preserve">UNDP/OHCHR agreed with international partners to speak with </w:t>
      </w:r>
      <w:r>
        <w:t>“</w:t>
      </w:r>
      <w:r w:rsidRPr="00F64560">
        <w:t>one voice</w:t>
      </w:r>
      <w:r>
        <w:t>”</w:t>
      </w:r>
      <w:r w:rsidRPr="00F64560">
        <w:t xml:space="preserve"> and </w:t>
      </w:r>
      <w:r w:rsidRPr="00F64560">
        <w:rPr>
          <w:rFonts w:eastAsiaTheme="minorEastAsia"/>
          <w:lang w:eastAsia="en-GB"/>
        </w:rPr>
        <w:t>the project created a position paper, which was used by international partners to advocate common messages with government, political leaders and other influentia</w:t>
      </w:r>
      <w:r>
        <w:rPr>
          <w:rFonts w:eastAsiaTheme="minorEastAsia"/>
          <w:lang w:eastAsia="en-GB"/>
        </w:rPr>
        <w:t>l entities.</w:t>
      </w:r>
    </w:p>
    <w:p w:rsidR="006C1A77" w:rsidRDefault="006C1A77" w:rsidP="006C1A77">
      <w:pPr>
        <w:bidi w:val="0"/>
        <w:spacing w:after="0" w:line="240" w:lineRule="auto"/>
        <w:rPr>
          <w:b/>
          <w:bCs/>
          <w:lang w:bidi="ar-YE"/>
        </w:rPr>
      </w:pPr>
    </w:p>
    <w:p w:rsidR="006C1A77" w:rsidRPr="00E87501" w:rsidRDefault="006C1A77" w:rsidP="006C1A77">
      <w:pPr>
        <w:bidi w:val="0"/>
        <w:spacing w:after="0" w:line="240" w:lineRule="auto"/>
        <w:jc w:val="both"/>
        <w:rPr>
          <w:lang w:bidi="ar-YE"/>
        </w:rPr>
      </w:pPr>
      <w:r w:rsidRPr="00E87501">
        <w:rPr>
          <w:lang w:bidi="ar-YE"/>
        </w:rPr>
        <w:t>In 2015, the project team continued to implement the project’s activities, despite further deterioration of the political and security situation, until 26</w:t>
      </w:r>
      <w:r w:rsidRPr="00E87501">
        <w:rPr>
          <w:vertAlign w:val="superscript"/>
          <w:lang w:bidi="ar-YE"/>
        </w:rPr>
        <w:t>th</w:t>
      </w:r>
      <w:r w:rsidRPr="00E87501">
        <w:rPr>
          <w:lang w:bidi="ar-YE"/>
        </w:rPr>
        <w:t xml:space="preserve"> March when the Decisive Storm operation started. On 28</w:t>
      </w:r>
      <w:r w:rsidRPr="00E87501">
        <w:rPr>
          <w:vertAlign w:val="superscript"/>
          <w:lang w:bidi="ar-YE"/>
        </w:rPr>
        <w:t>th</w:t>
      </w:r>
      <w:r w:rsidRPr="00E87501">
        <w:rPr>
          <w:lang w:bidi="ar-YE"/>
        </w:rPr>
        <w:t xml:space="preserve"> March UNDP, along with other UN agencies, evacuated international staff out. The project has established temporary office in Amman, while national staff remain in Yemen. At the moment, the project team is in the process of reviewing the project’s activities, to adjust them to the current needs of Yemen. </w:t>
      </w:r>
    </w:p>
    <w:p w:rsidR="006C1A77" w:rsidRPr="00E87501" w:rsidRDefault="006C1A77" w:rsidP="006C1A77">
      <w:pPr>
        <w:bidi w:val="0"/>
        <w:spacing w:after="0" w:line="240" w:lineRule="auto"/>
        <w:jc w:val="both"/>
        <w:rPr>
          <w:lang w:bidi="ar-YE"/>
        </w:rPr>
      </w:pPr>
    </w:p>
    <w:p w:rsidR="006C1A77" w:rsidRPr="00E87501" w:rsidRDefault="006C1A77" w:rsidP="006C1A77">
      <w:pPr>
        <w:bidi w:val="0"/>
        <w:spacing w:after="0" w:line="240" w:lineRule="auto"/>
        <w:jc w:val="both"/>
        <w:rPr>
          <w:lang w:bidi="ar-YE"/>
        </w:rPr>
      </w:pPr>
      <w:r w:rsidRPr="00E87501">
        <w:rPr>
          <w:lang w:bidi="ar-YE"/>
        </w:rPr>
        <w:t>During the 2015 Q1 the project achieved the following results:</w:t>
      </w:r>
    </w:p>
    <w:p w:rsidR="006C1A77" w:rsidRPr="00E87501" w:rsidRDefault="006C1A77" w:rsidP="006C1A77">
      <w:pPr>
        <w:bidi w:val="0"/>
        <w:spacing w:after="0" w:line="240" w:lineRule="auto"/>
        <w:rPr>
          <w:b/>
          <w:bCs/>
          <w:lang w:bidi="ar-YE"/>
        </w:rPr>
      </w:pPr>
    </w:p>
    <w:p w:rsidR="006C1A77" w:rsidRPr="00E87501" w:rsidRDefault="006C1A77" w:rsidP="006C1A77">
      <w:pPr>
        <w:pStyle w:val="ListParagraph"/>
        <w:numPr>
          <w:ilvl w:val="0"/>
          <w:numId w:val="6"/>
        </w:numPr>
        <w:spacing w:after="0" w:line="240" w:lineRule="auto"/>
        <w:jc w:val="both"/>
      </w:pPr>
      <w:r w:rsidRPr="00E87501">
        <w:rPr>
          <w:b/>
          <w:bCs/>
        </w:rPr>
        <w:t>Land and Dismissals Commissions in Southern Governorates</w:t>
      </w:r>
      <w:r w:rsidRPr="00E87501">
        <w:t xml:space="preserve">: The Land Commission finalized additional 16,000 cases (46,000 in total) of submitted claims and the Dismissals Commission finalized additional 10,000 (30,000 cases in total) of submitted claims. Both Commissions inserted additional 10,000 cases each in the databases: Land Commission so far has inserted 40,000 cases in total, while the Dismissals Commission inserted 80,000 cases in total. </w:t>
      </w:r>
    </w:p>
    <w:p w:rsidR="006C1A77" w:rsidRPr="00E87501" w:rsidRDefault="006C1A77" w:rsidP="006C1A77">
      <w:pPr>
        <w:pStyle w:val="ListParagraph"/>
        <w:numPr>
          <w:ilvl w:val="0"/>
          <w:numId w:val="1"/>
        </w:numPr>
        <w:spacing w:after="0" w:line="240" w:lineRule="auto"/>
        <w:jc w:val="both"/>
      </w:pPr>
      <w:r w:rsidRPr="00E87501">
        <w:rPr>
          <w:b/>
          <w:bCs/>
        </w:rPr>
        <w:t>CSOs</w:t>
      </w:r>
      <w:r w:rsidRPr="00E87501">
        <w:t xml:space="preserve">: Out of 131 CSOs which applied to become partners of UNDP/OHCHR, 31 were shortlisted to be further trained in transitional justice, conflict resolution, peace building, documenting human rights violations, project management etc. Out of 31 CSOs, the project will establish partnerships with 5. In addition with  31 organizations the project established core group of (still unofficial) TJ CSOs coalition. </w:t>
      </w:r>
    </w:p>
    <w:p w:rsidR="006C1A77" w:rsidRPr="00E87501" w:rsidRDefault="006C1A77" w:rsidP="006C1A77">
      <w:pPr>
        <w:pStyle w:val="ListParagraph"/>
        <w:numPr>
          <w:ilvl w:val="0"/>
          <w:numId w:val="1"/>
        </w:numPr>
        <w:spacing w:after="0" w:line="240" w:lineRule="auto"/>
        <w:jc w:val="both"/>
      </w:pPr>
      <w:r w:rsidRPr="00E87501">
        <w:rPr>
          <w:b/>
          <w:bCs/>
        </w:rPr>
        <w:lastRenderedPageBreak/>
        <w:t>After the evacuation</w:t>
      </w:r>
      <w:r w:rsidRPr="00E87501">
        <w:t xml:space="preserve">: The project trained and created network of 33 representatives of human rights and youth CSOs (25 lawyers and 8 youth) to document human rights violations and to support future fact-finding initiatives. </w:t>
      </w:r>
    </w:p>
    <w:p w:rsidR="009809C0" w:rsidRPr="00D15C87" w:rsidRDefault="006C1A77" w:rsidP="00D15C87">
      <w:pPr>
        <w:pStyle w:val="ListParagraph"/>
        <w:numPr>
          <w:ilvl w:val="0"/>
          <w:numId w:val="1"/>
        </w:numPr>
        <w:spacing w:after="0" w:line="240" w:lineRule="auto"/>
        <w:jc w:val="both"/>
      </w:pPr>
      <w:r w:rsidRPr="00E87501">
        <w:t>Additionally</w:t>
      </w:r>
      <w:r w:rsidRPr="00E87501">
        <w:rPr>
          <w:rFonts w:cstheme="majorBidi"/>
        </w:rPr>
        <w:t>, as an ad-hock activity, the project has drafted a concept note to implement a Track II confidence building dialogue in light of the escalated conflict in Yemen. The concept notes offers  a hybrid model of dialogue to involve key stakeholder, including civil society representatives, from all party concerned to usher a mid-level community dialogue that would be centered on mutual community interest. The Track II dialogue process is intended to support top negotiation process in the country.</w:t>
      </w:r>
      <w:r w:rsidRPr="00E87501">
        <w:rPr>
          <w:rFonts w:asciiTheme="majorBidi" w:hAnsiTheme="majorBidi" w:cstheme="majorBidi"/>
          <w:sz w:val="24"/>
          <w:szCs w:val="24"/>
        </w:rPr>
        <w:t xml:space="preserve"> </w:t>
      </w:r>
    </w:p>
    <w:p w:rsidR="00D15C87" w:rsidRPr="00D15C87" w:rsidRDefault="00D15C87" w:rsidP="00D15C87">
      <w:pPr>
        <w:pStyle w:val="ListParagraph"/>
        <w:spacing w:after="0" w:line="240" w:lineRule="auto"/>
        <w:jc w:val="both"/>
      </w:pPr>
    </w:p>
    <w:p w:rsidR="006A485C" w:rsidRDefault="00574624" w:rsidP="00C00B67">
      <w:pPr>
        <w:pStyle w:val="ListParagraph"/>
        <w:numPr>
          <w:ilvl w:val="0"/>
          <w:numId w:val="4"/>
        </w:numPr>
        <w:spacing w:after="0" w:line="240" w:lineRule="auto"/>
        <w:ind w:left="360" w:firstLine="0"/>
        <w:rPr>
          <w:b/>
          <w:bCs/>
          <w:lang w:bidi="ar-YE"/>
        </w:rPr>
      </w:pPr>
      <w:r>
        <w:rPr>
          <w:b/>
          <w:bCs/>
        </w:rPr>
        <w:t xml:space="preserve">Implementation </w:t>
      </w:r>
      <w:r w:rsidR="006A485C" w:rsidRPr="00C00B67">
        <w:rPr>
          <w:b/>
          <w:bCs/>
        </w:rPr>
        <w:t>of the Proje</w:t>
      </w:r>
      <w:r>
        <w:rPr>
          <w:b/>
          <w:bCs/>
        </w:rPr>
        <w:t>ct’s Activities</w:t>
      </w:r>
      <w:r w:rsidR="009809C0">
        <w:rPr>
          <w:b/>
          <w:bCs/>
        </w:rPr>
        <w:t>, 1 April 2014 -31 March 2015</w:t>
      </w:r>
      <w:r>
        <w:rPr>
          <w:b/>
          <w:bCs/>
        </w:rPr>
        <w:t>.</w:t>
      </w:r>
    </w:p>
    <w:p w:rsidR="00C00B67" w:rsidRDefault="00C00B67" w:rsidP="00C00B67">
      <w:pPr>
        <w:pStyle w:val="ListParagraph"/>
        <w:rPr>
          <w:b/>
          <w:bCs/>
          <w:lang w:bidi="ar-YE"/>
        </w:rPr>
      </w:pPr>
    </w:p>
    <w:tbl>
      <w:tblPr>
        <w:tblStyle w:val="TableGrid2"/>
        <w:tblpPr w:leftFromText="180" w:rightFromText="180" w:vertAnchor="text" w:horzAnchor="margin" w:tblpYSpec="center"/>
        <w:tblW w:w="10188" w:type="dxa"/>
        <w:tblLook w:val="04A0" w:firstRow="1" w:lastRow="0" w:firstColumn="1" w:lastColumn="0" w:noHBand="0" w:noVBand="1"/>
      </w:tblPr>
      <w:tblGrid>
        <w:gridCol w:w="2238"/>
        <w:gridCol w:w="3265"/>
        <w:gridCol w:w="2666"/>
        <w:gridCol w:w="2019"/>
      </w:tblGrid>
      <w:tr w:rsidR="00574624" w:rsidRPr="00937EBB" w:rsidTr="009B29D4">
        <w:trPr>
          <w:trHeight w:val="759"/>
        </w:trPr>
        <w:tc>
          <w:tcPr>
            <w:tcW w:w="2238" w:type="dxa"/>
            <w:shd w:val="clear" w:color="auto" w:fill="C4BC96" w:themeFill="background2" w:themeFillShade="BF"/>
          </w:tcPr>
          <w:p w:rsidR="00574624" w:rsidRPr="009809C0" w:rsidRDefault="00574624" w:rsidP="009809C0">
            <w:pPr>
              <w:jc w:val="center"/>
              <w:rPr>
                <w:b/>
                <w:bCs/>
              </w:rPr>
            </w:pPr>
            <w:r w:rsidRPr="009809C0">
              <w:rPr>
                <w:b/>
                <w:bCs/>
              </w:rPr>
              <w:lastRenderedPageBreak/>
              <w:t>Project Outcome/Output</w:t>
            </w:r>
          </w:p>
        </w:tc>
        <w:tc>
          <w:tcPr>
            <w:tcW w:w="3265" w:type="dxa"/>
            <w:shd w:val="clear" w:color="auto" w:fill="C4BC96" w:themeFill="background2" w:themeFillShade="BF"/>
          </w:tcPr>
          <w:p w:rsidR="00574624" w:rsidRPr="009809C0" w:rsidRDefault="009F398A" w:rsidP="009F398A">
            <w:pPr>
              <w:jc w:val="center"/>
              <w:rPr>
                <w:bCs/>
                <w:sz w:val="20"/>
                <w:szCs w:val="20"/>
                <w:lang w:bidi="ar-YE"/>
              </w:rPr>
            </w:pPr>
            <w:r w:rsidRPr="009F398A">
              <w:rPr>
                <w:b/>
                <w:bCs/>
              </w:rPr>
              <w:t xml:space="preserve">Planned Progress </w:t>
            </w:r>
          </w:p>
        </w:tc>
        <w:tc>
          <w:tcPr>
            <w:tcW w:w="2666" w:type="dxa"/>
            <w:shd w:val="clear" w:color="auto" w:fill="C4BC96" w:themeFill="background2" w:themeFillShade="BF"/>
          </w:tcPr>
          <w:p w:rsidR="00574624" w:rsidRPr="009809C0" w:rsidRDefault="009F398A" w:rsidP="009F398A">
            <w:pPr>
              <w:jc w:val="center"/>
              <w:rPr>
                <w:bCs/>
                <w:sz w:val="20"/>
                <w:szCs w:val="20"/>
              </w:rPr>
            </w:pPr>
            <w:r w:rsidRPr="009F398A">
              <w:rPr>
                <w:b/>
                <w:bCs/>
              </w:rPr>
              <w:t xml:space="preserve">Actual progress </w:t>
            </w:r>
            <w:r w:rsidRPr="009F398A">
              <w:rPr>
                <w:rFonts w:hint="cs"/>
                <w:b/>
                <w:bCs/>
                <w:rtl/>
              </w:rPr>
              <w:t xml:space="preserve"> </w:t>
            </w:r>
          </w:p>
        </w:tc>
        <w:tc>
          <w:tcPr>
            <w:tcW w:w="2019" w:type="dxa"/>
            <w:shd w:val="clear" w:color="auto" w:fill="C4BC96" w:themeFill="background2" w:themeFillShade="BF"/>
          </w:tcPr>
          <w:p w:rsidR="00574624" w:rsidRPr="009809C0" w:rsidRDefault="00574624" w:rsidP="00827E04">
            <w:pPr>
              <w:jc w:val="center"/>
              <w:rPr>
                <w:b/>
                <w:bCs/>
              </w:rPr>
            </w:pPr>
            <w:r w:rsidRPr="009809C0">
              <w:rPr>
                <w:b/>
                <w:bCs/>
              </w:rPr>
              <w:t>Explanation</w:t>
            </w:r>
          </w:p>
        </w:tc>
      </w:tr>
      <w:tr w:rsidR="00574624" w:rsidRPr="00937EBB" w:rsidTr="009B29D4">
        <w:trPr>
          <w:trHeight w:val="331"/>
        </w:trPr>
        <w:tc>
          <w:tcPr>
            <w:tcW w:w="2238" w:type="dxa"/>
            <w:shd w:val="clear" w:color="auto" w:fill="F2F2F2" w:themeFill="background1" w:themeFillShade="F2"/>
          </w:tcPr>
          <w:p w:rsidR="009B29D4" w:rsidRPr="00E87501" w:rsidRDefault="00C103FF" w:rsidP="009B29D4">
            <w:pPr>
              <w:bidi w:val="0"/>
              <w:rPr>
                <w:rFonts w:cs="Calibri"/>
              </w:rPr>
            </w:pPr>
            <w:r>
              <w:rPr>
                <w:sz w:val="20"/>
                <w:szCs w:val="20"/>
              </w:rPr>
              <w:t xml:space="preserve">Project </w:t>
            </w:r>
            <w:r w:rsidR="00142E65">
              <w:rPr>
                <w:sz w:val="20"/>
                <w:szCs w:val="20"/>
              </w:rPr>
              <w:t>Outcome 1</w:t>
            </w:r>
            <w:r w:rsidR="009B29D4">
              <w:rPr>
                <w:sz w:val="20"/>
                <w:szCs w:val="20"/>
                <w:lang w:bidi="ar-YE"/>
              </w:rPr>
              <w:t xml:space="preserve">: </w:t>
            </w:r>
            <w:r w:rsidR="009B29D4" w:rsidRPr="00E87501">
              <w:rPr>
                <w:rFonts w:cs="Calibri"/>
              </w:rPr>
              <w:t>By 2015, government is accountable at central and local levels, and decentralization, equitable access to justice and human rights are strengthened, as well as capacity to promote International Humanitarian Law is built.</w:t>
            </w:r>
          </w:p>
          <w:p w:rsidR="009B29D4" w:rsidRPr="00E87501" w:rsidRDefault="009B29D4" w:rsidP="009B29D4">
            <w:pPr>
              <w:bidi w:val="0"/>
              <w:rPr>
                <w:rFonts w:cs="Calibri"/>
              </w:rPr>
            </w:pPr>
          </w:p>
          <w:p w:rsidR="00574624" w:rsidRPr="009809C0" w:rsidRDefault="009B29D4" w:rsidP="009B29D4">
            <w:pPr>
              <w:bidi w:val="0"/>
              <w:rPr>
                <w:sz w:val="20"/>
                <w:szCs w:val="20"/>
                <w:lang w:bidi="ar-YE"/>
              </w:rPr>
            </w:pPr>
            <w:r w:rsidRPr="00E87501">
              <w:rPr>
                <w:rFonts w:cstheme="majorBidi"/>
              </w:rPr>
              <w:t>PBF outcome:</w:t>
            </w:r>
            <w:r w:rsidRPr="00E87501">
              <w:rPr>
                <w:rFonts w:cs="Calibri"/>
                <w:lang w:val="en-GB"/>
              </w:rPr>
              <w:t xml:space="preserve"> Institutional frameworks address long-standing grievances and lay the basis for accountable institutions that respect and protect human rights</w:t>
            </w:r>
          </w:p>
        </w:tc>
        <w:tc>
          <w:tcPr>
            <w:tcW w:w="3265" w:type="dxa"/>
          </w:tcPr>
          <w:p w:rsidR="00574624" w:rsidRPr="009B29D4" w:rsidRDefault="00574624" w:rsidP="006C1A77">
            <w:pPr>
              <w:jc w:val="center"/>
              <w:rPr>
                <w:rtl/>
                <w:lang w:bidi="ar-YE"/>
              </w:rPr>
            </w:pPr>
          </w:p>
        </w:tc>
        <w:tc>
          <w:tcPr>
            <w:tcW w:w="2666" w:type="dxa"/>
          </w:tcPr>
          <w:p w:rsidR="00574624" w:rsidRPr="00937EBB" w:rsidRDefault="00574624" w:rsidP="00827E04">
            <w:pPr>
              <w:jc w:val="center"/>
            </w:pPr>
          </w:p>
        </w:tc>
        <w:tc>
          <w:tcPr>
            <w:tcW w:w="2019" w:type="dxa"/>
          </w:tcPr>
          <w:p w:rsidR="00574624" w:rsidRPr="00937EBB" w:rsidRDefault="00574624" w:rsidP="00827E04">
            <w:pPr>
              <w:jc w:val="center"/>
            </w:pPr>
          </w:p>
        </w:tc>
      </w:tr>
      <w:tr w:rsidR="006C1A77" w:rsidRPr="00937EBB" w:rsidTr="009B29D4">
        <w:trPr>
          <w:trHeight w:val="331"/>
        </w:trPr>
        <w:tc>
          <w:tcPr>
            <w:tcW w:w="2238" w:type="dxa"/>
            <w:shd w:val="clear" w:color="auto" w:fill="F2F2F2" w:themeFill="background1" w:themeFillShade="F2"/>
          </w:tcPr>
          <w:p w:rsidR="006C1A77" w:rsidRPr="009809C0" w:rsidRDefault="006C1A77" w:rsidP="006C1A77">
            <w:pPr>
              <w:rPr>
                <w:sz w:val="20"/>
                <w:szCs w:val="20"/>
              </w:rPr>
            </w:pPr>
            <w:r w:rsidRPr="009809C0">
              <w:rPr>
                <w:sz w:val="20"/>
                <w:szCs w:val="20"/>
              </w:rPr>
              <w:t>Output 1.1</w:t>
            </w:r>
            <w:r w:rsidR="009B29D4">
              <w:rPr>
                <w:sz w:val="20"/>
                <w:szCs w:val="20"/>
              </w:rPr>
              <w:t xml:space="preserve">: </w:t>
            </w:r>
            <w:r w:rsidR="009B29D4" w:rsidRPr="00E87501">
              <w:rPr>
                <w:rFonts w:cstheme="majorBidi"/>
                <w:bCs/>
                <w:iCs/>
                <w:sz w:val="20"/>
                <w:szCs w:val="20"/>
                <w:lang w:val="en-GB"/>
              </w:rPr>
              <w:t xml:space="preserve"> MoLA enabled to draft TJ related legislation and relevant By-Laws</w:t>
            </w:r>
          </w:p>
        </w:tc>
        <w:tc>
          <w:tcPr>
            <w:tcW w:w="3265" w:type="dxa"/>
          </w:tcPr>
          <w:p w:rsidR="006C1A77" w:rsidRPr="00E87501" w:rsidRDefault="006C1A77" w:rsidP="006C1A77">
            <w:pPr>
              <w:bidi w:val="0"/>
              <w:rPr>
                <w:rFonts w:eastAsia="Times New Roman" w:cs="Times New Roman"/>
                <w:bCs/>
                <w:sz w:val="20"/>
                <w:szCs w:val="20"/>
              </w:rPr>
            </w:pPr>
          </w:p>
        </w:tc>
        <w:tc>
          <w:tcPr>
            <w:tcW w:w="2666" w:type="dxa"/>
          </w:tcPr>
          <w:p w:rsidR="009B29D4" w:rsidRPr="00E87501" w:rsidRDefault="009B29D4" w:rsidP="009B29D4">
            <w:pPr>
              <w:bidi w:val="0"/>
              <w:rPr>
                <w:sz w:val="20"/>
                <w:szCs w:val="20"/>
              </w:rPr>
            </w:pPr>
            <w:r w:rsidRPr="00E87501">
              <w:rPr>
                <w:sz w:val="20"/>
                <w:szCs w:val="20"/>
              </w:rPr>
              <w:t xml:space="preserve">100 % </w:t>
            </w:r>
          </w:p>
          <w:p w:rsidR="009B29D4" w:rsidRPr="00E87501" w:rsidRDefault="009B29D4" w:rsidP="009B29D4">
            <w:pPr>
              <w:bidi w:val="0"/>
              <w:rPr>
                <w:sz w:val="20"/>
                <w:szCs w:val="20"/>
              </w:rPr>
            </w:pPr>
          </w:p>
          <w:p w:rsidR="009B29D4" w:rsidRPr="00E87501" w:rsidRDefault="009B29D4" w:rsidP="009B29D4">
            <w:pPr>
              <w:bidi w:val="0"/>
              <w:rPr>
                <w:sz w:val="20"/>
                <w:szCs w:val="20"/>
              </w:rPr>
            </w:pPr>
            <w:r w:rsidRPr="00E87501">
              <w:rPr>
                <w:sz w:val="20"/>
                <w:szCs w:val="20"/>
              </w:rPr>
              <w:t xml:space="preserve">-More than 100 recommendations collected during the consultation process on the draft TJ Law. All recommendations inserted in the draft law. It was the first time in Yemen’s history that citizens were directly involved in creation of a legal document. </w:t>
            </w:r>
          </w:p>
          <w:p w:rsidR="009B29D4" w:rsidRPr="00E87501" w:rsidRDefault="009B29D4" w:rsidP="009B29D4">
            <w:pPr>
              <w:bidi w:val="0"/>
              <w:rPr>
                <w:sz w:val="20"/>
                <w:szCs w:val="20"/>
              </w:rPr>
            </w:pPr>
          </w:p>
          <w:p w:rsidR="006C1A77" w:rsidRPr="00937EBB" w:rsidRDefault="009B29D4" w:rsidP="009B29D4">
            <w:pPr>
              <w:jc w:val="center"/>
            </w:pPr>
            <w:r w:rsidRPr="00E87501">
              <w:rPr>
                <w:sz w:val="20"/>
                <w:szCs w:val="20"/>
              </w:rPr>
              <w:t>-Partnership with relevant international organisations and embassies created (to further support adoption of the TJ Law).</w:t>
            </w:r>
          </w:p>
        </w:tc>
        <w:tc>
          <w:tcPr>
            <w:tcW w:w="2019" w:type="dxa"/>
          </w:tcPr>
          <w:p w:rsidR="006C1A77" w:rsidRPr="00937EBB" w:rsidRDefault="006C1A77" w:rsidP="006C1A77">
            <w:pPr>
              <w:jc w:val="center"/>
            </w:pPr>
          </w:p>
        </w:tc>
      </w:tr>
      <w:tr w:rsidR="006C1A77" w:rsidRPr="00937EBB" w:rsidTr="009B29D4">
        <w:trPr>
          <w:trHeight w:val="350"/>
        </w:trPr>
        <w:tc>
          <w:tcPr>
            <w:tcW w:w="2238" w:type="dxa"/>
            <w:shd w:val="clear" w:color="auto" w:fill="F2F2F2" w:themeFill="background1" w:themeFillShade="F2"/>
          </w:tcPr>
          <w:p w:rsidR="006C1A77" w:rsidRPr="009809C0" w:rsidRDefault="006C1A77" w:rsidP="006C1A77">
            <w:pPr>
              <w:rPr>
                <w:sz w:val="20"/>
                <w:szCs w:val="20"/>
              </w:rPr>
            </w:pPr>
            <w:r w:rsidRPr="009809C0">
              <w:rPr>
                <w:sz w:val="20"/>
                <w:szCs w:val="20"/>
              </w:rPr>
              <w:t>Output 1.2</w:t>
            </w:r>
            <w:r w:rsidR="009B29D4">
              <w:rPr>
                <w:sz w:val="20"/>
                <w:szCs w:val="20"/>
              </w:rPr>
              <w:t xml:space="preserve">: </w:t>
            </w:r>
            <w:r w:rsidR="009B29D4" w:rsidRPr="00E87501">
              <w:rPr>
                <w:rFonts w:cstheme="majorBidi"/>
                <w:bCs/>
                <w:sz w:val="20"/>
                <w:szCs w:val="20"/>
                <w:lang w:val="en-GB"/>
              </w:rPr>
              <w:t xml:space="preserve"> Technical and operational capacity of the Ministry of Legal Affairs in TJ area enhanced</w:t>
            </w:r>
          </w:p>
        </w:tc>
        <w:tc>
          <w:tcPr>
            <w:tcW w:w="3265" w:type="dxa"/>
          </w:tcPr>
          <w:p w:rsidR="006C1A77" w:rsidRPr="00E87501" w:rsidRDefault="006C1A77" w:rsidP="006C1A77">
            <w:pPr>
              <w:bidi w:val="0"/>
              <w:rPr>
                <w:rFonts w:eastAsia="Times New Roman" w:cs="Times New Roman"/>
                <w:bCs/>
                <w:sz w:val="20"/>
                <w:szCs w:val="20"/>
              </w:rPr>
            </w:pPr>
          </w:p>
        </w:tc>
        <w:tc>
          <w:tcPr>
            <w:tcW w:w="2666" w:type="dxa"/>
          </w:tcPr>
          <w:p w:rsidR="009B29D4" w:rsidRPr="00E87501" w:rsidRDefault="009B29D4" w:rsidP="009B29D4">
            <w:pPr>
              <w:jc w:val="right"/>
              <w:rPr>
                <w:sz w:val="20"/>
                <w:szCs w:val="20"/>
              </w:rPr>
            </w:pPr>
            <w:r w:rsidRPr="00E87501">
              <w:rPr>
                <w:sz w:val="20"/>
                <w:szCs w:val="20"/>
              </w:rPr>
              <w:t>100%</w:t>
            </w:r>
          </w:p>
          <w:p w:rsidR="009B29D4" w:rsidRPr="00E87501" w:rsidRDefault="009B29D4" w:rsidP="009B29D4">
            <w:pPr>
              <w:jc w:val="right"/>
              <w:rPr>
                <w:sz w:val="20"/>
                <w:szCs w:val="20"/>
              </w:rPr>
            </w:pPr>
          </w:p>
          <w:p w:rsidR="009B29D4" w:rsidRPr="00E87501" w:rsidRDefault="009B29D4" w:rsidP="009B29D4">
            <w:pPr>
              <w:jc w:val="right"/>
              <w:rPr>
                <w:sz w:val="20"/>
                <w:szCs w:val="20"/>
              </w:rPr>
            </w:pPr>
            <w:r w:rsidRPr="00E87501">
              <w:rPr>
                <w:sz w:val="20"/>
                <w:szCs w:val="20"/>
              </w:rPr>
              <w:t xml:space="preserve">-Out of 26 representatives of MoLA who were trained in facilitation techniques, 15 of them directly used gained knowledge during the consultation process on the draft TJ Law and CSOs trainings. </w:t>
            </w:r>
          </w:p>
          <w:p w:rsidR="009B29D4" w:rsidRPr="00E87501" w:rsidRDefault="009B29D4" w:rsidP="009B29D4">
            <w:pPr>
              <w:jc w:val="both"/>
              <w:rPr>
                <w:sz w:val="20"/>
                <w:szCs w:val="20"/>
              </w:rPr>
            </w:pPr>
          </w:p>
          <w:p w:rsidR="009B29D4" w:rsidRPr="00E87501" w:rsidRDefault="009B29D4" w:rsidP="009B29D4">
            <w:pPr>
              <w:pStyle w:val="ListParagraph"/>
              <w:ind w:left="0"/>
              <w:rPr>
                <w:sz w:val="20"/>
                <w:szCs w:val="20"/>
              </w:rPr>
            </w:pPr>
            <w:r w:rsidRPr="00E87501">
              <w:rPr>
                <w:sz w:val="20"/>
                <w:szCs w:val="20"/>
              </w:rPr>
              <w:t xml:space="preserve">-All 30 MoLA participants who were trained in TJ, conflict resolution and strategic communication used gained knowledge while implementing TJ related activities (consultations on the TJ Law etc.) and communicating with victims and other vulnerable citizens (such as minorities, refugees, IDPs etc.) who were stakeholders of the MoLA on every day basis. </w:t>
            </w:r>
          </w:p>
          <w:p w:rsidR="009B29D4" w:rsidRPr="00E87501" w:rsidRDefault="009B29D4" w:rsidP="009B29D4">
            <w:pPr>
              <w:pStyle w:val="ListParagraph"/>
              <w:ind w:left="0"/>
              <w:rPr>
                <w:sz w:val="20"/>
                <w:szCs w:val="20"/>
              </w:rPr>
            </w:pPr>
          </w:p>
          <w:p w:rsidR="009B29D4" w:rsidRPr="00E87501" w:rsidRDefault="009B29D4" w:rsidP="009B29D4">
            <w:pPr>
              <w:jc w:val="right"/>
              <w:rPr>
                <w:rFonts w:cstheme="majorBidi"/>
                <w:bCs/>
                <w:iCs/>
                <w:sz w:val="20"/>
                <w:szCs w:val="20"/>
                <w:lang w:val="en-GB"/>
              </w:rPr>
            </w:pPr>
            <w:r w:rsidRPr="00E87501">
              <w:rPr>
                <w:sz w:val="20"/>
                <w:szCs w:val="20"/>
              </w:rPr>
              <w:t xml:space="preserve">-MoLA documentation center established, to increase knowledge of the MoLA staff and citizens on TJ and the new MOLA website created, to secure another </w:t>
            </w:r>
            <w:r w:rsidRPr="00E87501">
              <w:rPr>
                <w:rFonts w:cstheme="majorBidi"/>
                <w:bCs/>
                <w:iCs/>
                <w:sz w:val="20"/>
                <w:szCs w:val="20"/>
                <w:lang w:val="en-GB"/>
              </w:rPr>
              <w:t>forum for exchange between the Ministry and civil society and citizens</w:t>
            </w:r>
          </w:p>
          <w:p w:rsidR="006C1A77" w:rsidRPr="00937EBB" w:rsidRDefault="009B29D4" w:rsidP="009B29D4">
            <w:pPr>
              <w:jc w:val="center"/>
              <w:rPr>
                <w:rtl/>
                <w:lang w:bidi="ar-YE"/>
              </w:rPr>
            </w:pPr>
            <w:r w:rsidRPr="00E87501">
              <w:rPr>
                <w:sz w:val="20"/>
                <w:szCs w:val="20"/>
              </w:rPr>
              <w:t xml:space="preserve"> (</w:t>
            </w:r>
            <w:hyperlink r:id="rId10" w:history="1">
              <w:r w:rsidRPr="00E87501">
                <w:rPr>
                  <w:rStyle w:val="Hyperlink"/>
                  <w:sz w:val="20"/>
                  <w:szCs w:val="20"/>
                </w:rPr>
                <w:t>http://alsulaimani.biz/mofa/</w:t>
              </w:r>
            </w:hyperlink>
            <w:r w:rsidRPr="00E87501">
              <w:rPr>
                <w:color w:val="1F497D"/>
                <w:sz w:val="20"/>
                <w:szCs w:val="20"/>
              </w:rPr>
              <w:t xml:space="preserve">) </w:t>
            </w:r>
            <w:r w:rsidRPr="00E87501">
              <w:rPr>
                <w:sz w:val="20"/>
                <w:szCs w:val="20"/>
              </w:rPr>
              <w:t xml:space="preserve">– the website is still under MoLA review)  </w:t>
            </w:r>
          </w:p>
        </w:tc>
        <w:tc>
          <w:tcPr>
            <w:tcW w:w="2019" w:type="dxa"/>
          </w:tcPr>
          <w:p w:rsidR="006C1A77" w:rsidRPr="00937EBB" w:rsidRDefault="006C1A77" w:rsidP="006C1A77">
            <w:pPr>
              <w:jc w:val="center"/>
            </w:pPr>
          </w:p>
        </w:tc>
      </w:tr>
      <w:tr w:rsidR="009B29D4" w:rsidRPr="00937EBB" w:rsidTr="009B29D4">
        <w:trPr>
          <w:trHeight w:val="331"/>
        </w:trPr>
        <w:tc>
          <w:tcPr>
            <w:tcW w:w="2238" w:type="dxa"/>
            <w:shd w:val="clear" w:color="auto" w:fill="F2F2F2" w:themeFill="background1" w:themeFillShade="F2"/>
          </w:tcPr>
          <w:p w:rsidR="009B29D4" w:rsidRPr="009809C0" w:rsidRDefault="009B29D4" w:rsidP="009B29D4">
            <w:pPr>
              <w:rPr>
                <w:sz w:val="20"/>
                <w:szCs w:val="20"/>
              </w:rPr>
            </w:pPr>
            <w:r w:rsidRPr="009809C0">
              <w:rPr>
                <w:sz w:val="20"/>
                <w:szCs w:val="20"/>
              </w:rPr>
              <w:lastRenderedPageBreak/>
              <w:t>Output 1.3</w:t>
            </w:r>
            <w:r>
              <w:rPr>
                <w:sz w:val="20"/>
                <w:szCs w:val="20"/>
              </w:rPr>
              <w:t xml:space="preserve">: </w:t>
            </w:r>
            <w:r w:rsidRPr="00E87501">
              <w:rPr>
                <w:rFonts w:cstheme="majorBidi"/>
                <w:bCs/>
                <w:iCs/>
                <w:sz w:val="20"/>
                <w:szCs w:val="20"/>
                <w:lang w:val="en-GB"/>
              </w:rPr>
              <w:t xml:space="preserve"> Justice and National Reconciliation Commission execute its mandate effectively.</w:t>
            </w:r>
          </w:p>
        </w:tc>
        <w:tc>
          <w:tcPr>
            <w:tcW w:w="3265" w:type="dxa"/>
          </w:tcPr>
          <w:p w:rsidR="009B29D4" w:rsidRPr="00E87501" w:rsidRDefault="009B29D4" w:rsidP="009B29D4">
            <w:pPr>
              <w:bidi w:val="0"/>
              <w:rPr>
                <w:rFonts w:eastAsia="Times New Roman" w:cs="Times New Roman"/>
                <w:bCs/>
                <w:sz w:val="20"/>
                <w:szCs w:val="20"/>
              </w:rPr>
            </w:pPr>
          </w:p>
        </w:tc>
        <w:tc>
          <w:tcPr>
            <w:tcW w:w="2666" w:type="dxa"/>
          </w:tcPr>
          <w:p w:rsidR="009B29D4" w:rsidRPr="00E87501" w:rsidRDefault="009B29D4" w:rsidP="009B29D4">
            <w:pPr>
              <w:bidi w:val="0"/>
              <w:rPr>
                <w:rFonts w:eastAsia="Times New Roman" w:cs="Times New Roman"/>
                <w:bCs/>
                <w:sz w:val="20"/>
                <w:szCs w:val="20"/>
              </w:rPr>
            </w:pPr>
            <w:r w:rsidRPr="00E87501">
              <w:rPr>
                <w:rFonts w:eastAsia="Times New Roman" w:cs="Times New Roman"/>
                <w:bCs/>
                <w:sz w:val="20"/>
                <w:szCs w:val="20"/>
              </w:rPr>
              <w:t>0 %</w:t>
            </w:r>
          </w:p>
        </w:tc>
        <w:tc>
          <w:tcPr>
            <w:tcW w:w="2019" w:type="dxa"/>
          </w:tcPr>
          <w:p w:rsidR="009B29D4" w:rsidRPr="00E87501" w:rsidRDefault="009B29D4" w:rsidP="009B29D4">
            <w:pPr>
              <w:jc w:val="right"/>
              <w:rPr>
                <w:bCs/>
                <w:sz w:val="20"/>
                <w:szCs w:val="20"/>
              </w:rPr>
            </w:pPr>
            <w:r w:rsidRPr="00E87501">
              <w:rPr>
                <w:bCs/>
                <w:sz w:val="20"/>
                <w:szCs w:val="20"/>
              </w:rPr>
              <w:t>The Truth commission has not yet been established (The TJ Law has not yet been adopted), therefore the project could not implement any planned activity.</w:t>
            </w:r>
          </w:p>
        </w:tc>
      </w:tr>
      <w:tr w:rsidR="009B29D4" w:rsidRPr="00937EBB" w:rsidTr="009B29D4">
        <w:trPr>
          <w:trHeight w:val="350"/>
        </w:trPr>
        <w:tc>
          <w:tcPr>
            <w:tcW w:w="2238" w:type="dxa"/>
            <w:shd w:val="clear" w:color="auto" w:fill="F2F2F2" w:themeFill="background1" w:themeFillShade="F2"/>
          </w:tcPr>
          <w:p w:rsidR="009B29D4" w:rsidRPr="009809C0" w:rsidRDefault="009B29D4" w:rsidP="009B29D4">
            <w:pPr>
              <w:rPr>
                <w:sz w:val="20"/>
                <w:szCs w:val="20"/>
                <w:rtl/>
                <w:lang w:bidi="ar-YE"/>
              </w:rPr>
            </w:pPr>
            <w:r>
              <w:rPr>
                <w:sz w:val="20"/>
                <w:szCs w:val="20"/>
              </w:rPr>
              <w:t xml:space="preserve">Output 1.4: </w:t>
            </w:r>
            <w:r w:rsidRPr="00E87501">
              <w:rPr>
                <w:rFonts w:cstheme="majorBidi"/>
                <w:bCs/>
                <w:iCs/>
                <w:sz w:val="20"/>
                <w:szCs w:val="20"/>
                <w:lang w:val="en-GB"/>
              </w:rPr>
              <w:t xml:space="preserve"> INHRI provides effective oversight of the JNRC and other similar bodies</w:t>
            </w:r>
          </w:p>
        </w:tc>
        <w:tc>
          <w:tcPr>
            <w:tcW w:w="3265" w:type="dxa"/>
          </w:tcPr>
          <w:p w:rsidR="009B29D4" w:rsidRPr="00E87501" w:rsidRDefault="009B29D4" w:rsidP="009B29D4">
            <w:pPr>
              <w:bidi w:val="0"/>
              <w:rPr>
                <w:rFonts w:eastAsia="Times New Roman" w:cs="Times New Roman"/>
                <w:bCs/>
                <w:sz w:val="20"/>
                <w:szCs w:val="20"/>
              </w:rPr>
            </w:pPr>
          </w:p>
        </w:tc>
        <w:tc>
          <w:tcPr>
            <w:tcW w:w="2666" w:type="dxa"/>
          </w:tcPr>
          <w:p w:rsidR="009B29D4" w:rsidRPr="00E87501" w:rsidRDefault="009B29D4" w:rsidP="009B29D4">
            <w:pPr>
              <w:bidi w:val="0"/>
              <w:rPr>
                <w:rFonts w:eastAsia="Times New Roman" w:cs="Times New Roman"/>
                <w:sz w:val="20"/>
                <w:szCs w:val="20"/>
              </w:rPr>
            </w:pPr>
            <w:r w:rsidRPr="00E87501">
              <w:rPr>
                <w:rFonts w:eastAsia="Times New Roman" w:cs="Times New Roman"/>
                <w:sz w:val="20"/>
                <w:szCs w:val="20"/>
              </w:rPr>
              <w:t>0 %</w:t>
            </w:r>
          </w:p>
        </w:tc>
        <w:tc>
          <w:tcPr>
            <w:tcW w:w="2019" w:type="dxa"/>
          </w:tcPr>
          <w:p w:rsidR="009B29D4" w:rsidRPr="00E87501" w:rsidRDefault="009B29D4" w:rsidP="009B29D4">
            <w:pPr>
              <w:jc w:val="right"/>
              <w:rPr>
                <w:sz w:val="20"/>
                <w:szCs w:val="20"/>
              </w:rPr>
            </w:pPr>
            <w:r w:rsidRPr="00E87501">
              <w:rPr>
                <w:sz w:val="20"/>
                <w:szCs w:val="20"/>
              </w:rPr>
              <w:t>The Independent Human Rights Institution has not yet been established (Law on Independent Human Rights Institution is yet to be adopted), therefore the project could not implement any planned activity.</w:t>
            </w:r>
          </w:p>
        </w:tc>
      </w:tr>
      <w:tr w:rsidR="009B29D4" w:rsidRPr="00937EBB" w:rsidTr="009B29D4">
        <w:trPr>
          <w:trHeight w:val="331"/>
        </w:trPr>
        <w:tc>
          <w:tcPr>
            <w:tcW w:w="2238" w:type="dxa"/>
            <w:shd w:val="clear" w:color="auto" w:fill="F2F2F2" w:themeFill="background1" w:themeFillShade="F2"/>
          </w:tcPr>
          <w:p w:rsidR="009B29D4" w:rsidRPr="009809C0" w:rsidRDefault="009B29D4" w:rsidP="009B29D4">
            <w:pPr>
              <w:rPr>
                <w:sz w:val="20"/>
                <w:szCs w:val="20"/>
              </w:rPr>
            </w:pPr>
            <w:r>
              <w:rPr>
                <w:sz w:val="20"/>
                <w:szCs w:val="20"/>
              </w:rPr>
              <w:t xml:space="preserve">Output 1.5: </w:t>
            </w:r>
            <w:r w:rsidRPr="00E87501">
              <w:rPr>
                <w:rFonts w:cstheme="majorBidi"/>
                <w:bCs/>
                <w:sz w:val="20"/>
                <w:szCs w:val="20"/>
                <w:lang w:val="en-GB"/>
              </w:rPr>
              <w:t xml:space="preserve"> Policy measures to ensure acknowledgement, recognition of suffering and non-recurrence of human rights violations created.</w:t>
            </w:r>
          </w:p>
        </w:tc>
        <w:tc>
          <w:tcPr>
            <w:tcW w:w="3265" w:type="dxa"/>
          </w:tcPr>
          <w:p w:rsidR="009B29D4" w:rsidRPr="00E87501" w:rsidRDefault="009B29D4" w:rsidP="009B29D4">
            <w:pPr>
              <w:bidi w:val="0"/>
              <w:rPr>
                <w:rFonts w:eastAsia="Times New Roman" w:cs="Times New Roman"/>
                <w:bCs/>
                <w:sz w:val="20"/>
                <w:szCs w:val="20"/>
              </w:rPr>
            </w:pPr>
          </w:p>
        </w:tc>
        <w:tc>
          <w:tcPr>
            <w:tcW w:w="2666" w:type="dxa"/>
          </w:tcPr>
          <w:p w:rsidR="009B29D4" w:rsidRPr="00E87501" w:rsidRDefault="009B29D4" w:rsidP="009B29D4">
            <w:pPr>
              <w:bidi w:val="0"/>
              <w:rPr>
                <w:rFonts w:cs="Calibri"/>
                <w:sz w:val="20"/>
                <w:szCs w:val="20"/>
              </w:rPr>
            </w:pPr>
            <w:r w:rsidRPr="00E87501">
              <w:rPr>
                <w:rFonts w:cs="Calibri"/>
                <w:sz w:val="20"/>
                <w:szCs w:val="20"/>
              </w:rPr>
              <w:t>80%</w:t>
            </w:r>
          </w:p>
          <w:p w:rsidR="009B29D4" w:rsidRPr="00E87501" w:rsidRDefault="009B29D4" w:rsidP="009B29D4">
            <w:pPr>
              <w:bidi w:val="0"/>
              <w:rPr>
                <w:rFonts w:cs="Calibri"/>
                <w:sz w:val="20"/>
                <w:szCs w:val="20"/>
              </w:rPr>
            </w:pPr>
          </w:p>
          <w:p w:rsidR="009B29D4" w:rsidRPr="00E87501" w:rsidRDefault="009B29D4" w:rsidP="009B29D4">
            <w:pPr>
              <w:bidi w:val="0"/>
              <w:rPr>
                <w:rFonts w:eastAsia="Times New Roman" w:cs="Times New Roman"/>
                <w:sz w:val="20"/>
                <w:szCs w:val="20"/>
              </w:rPr>
            </w:pPr>
            <w:r w:rsidRPr="00E87501">
              <w:rPr>
                <w:rFonts w:cs="Calibri"/>
                <w:sz w:val="20"/>
                <w:szCs w:val="20"/>
              </w:rPr>
              <w:t xml:space="preserve">-During 2014 two programme policy papers were drafted by two international and two local consultants. Namely, 1) a concept paper on gender and transitional justice; 2) a </w:t>
            </w:r>
            <w:r w:rsidRPr="00E87501">
              <w:rPr>
                <w:rFonts w:cs="Calibri"/>
                <w:sz w:val="20"/>
                <w:szCs w:val="20"/>
              </w:rPr>
              <w:lastRenderedPageBreak/>
              <w:t xml:space="preserve">concept paper on reparations. Concept papers are under final review of the project. </w:t>
            </w:r>
          </w:p>
        </w:tc>
        <w:tc>
          <w:tcPr>
            <w:tcW w:w="2019" w:type="dxa"/>
          </w:tcPr>
          <w:p w:rsidR="009B29D4" w:rsidRPr="00E87501" w:rsidRDefault="009B29D4" w:rsidP="009B29D4">
            <w:pPr>
              <w:bidi w:val="0"/>
              <w:rPr>
                <w:rFonts w:eastAsia="Times New Roman" w:cs="Times New Roman"/>
                <w:sz w:val="20"/>
                <w:szCs w:val="20"/>
              </w:rPr>
            </w:pPr>
            <w:r w:rsidRPr="00E87501">
              <w:rPr>
                <w:sz w:val="20"/>
                <w:szCs w:val="20"/>
              </w:rPr>
              <w:lastRenderedPageBreak/>
              <w:t xml:space="preserve">Drafting of the policy papers has been delayed because of deterioration of the security and political situation.  </w:t>
            </w:r>
          </w:p>
        </w:tc>
      </w:tr>
      <w:tr w:rsidR="009B29D4" w:rsidRPr="00937EBB" w:rsidTr="009B29D4">
        <w:trPr>
          <w:trHeight w:val="350"/>
        </w:trPr>
        <w:tc>
          <w:tcPr>
            <w:tcW w:w="2238" w:type="dxa"/>
            <w:shd w:val="clear" w:color="auto" w:fill="F2F2F2" w:themeFill="background1" w:themeFillShade="F2"/>
          </w:tcPr>
          <w:p w:rsidR="009B29D4" w:rsidRPr="009809C0" w:rsidRDefault="009B29D4" w:rsidP="009B29D4">
            <w:pPr>
              <w:rPr>
                <w:sz w:val="20"/>
                <w:szCs w:val="20"/>
              </w:rPr>
            </w:pPr>
            <w:r>
              <w:rPr>
                <w:sz w:val="20"/>
                <w:szCs w:val="20"/>
              </w:rPr>
              <w:lastRenderedPageBreak/>
              <w:t xml:space="preserve">Output 1.6: </w:t>
            </w:r>
            <w:r w:rsidRPr="00E87501">
              <w:rPr>
                <w:rFonts w:cstheme="majorBidi"/>
                <w:bCs/>
                <w:sz w:val="20"/>
                <w:szCs w:val="20"/>
              </w:rPr>
              <w:t xml:space="preserve"> Civil society, victims’ networks, and community level initiatives on Transitional Justice and National Reconciliation strengthened.</w:t>
            </w:r>
          </w:p>
        </w:tc>
        <w:tc>
          <w:tcPr>
            <w:tcW w:w="3265" w:type="dxa"/>
          </w:tcPr>
          <w:p w:rsidR="009B29D4" w:rsidRPr="00E87501" w:rsidRDefault="009B29D4" w:rsidP="009B29D4">
            <w:pPr>
              <w:bidi w:val="0"/>
              <w:rPr>
                <w:rFonts w:eastAsia="Times New Roman" w:cs="Times New Roman"/>
                <w:bCs/>
                <w:sz w:val="20"/>
                <w:szCs w:val="20"/>
              </w:rPr>
            </w:pPr>
          </w:p>
        </w:tc>
        <w:tc>
          <w:tcPr>
            <w:tcW w:w="2666" w:type="dxa"/>
          </w:tcPr>
          <w:p w:rsidR="009B29D4" w:rsidRPr="00E87501" w:rsidRDefault="009B29D4" w:rsidP="009B29D4">
            <w:pPr>
              <w:bidi w:val="0"/>
              <w:rPr>
                <w:rFonts w:eastAsia="Times New Roman" w:cs="Times New Roman"/>
                <w:sz w:val="20"/>
                <w:szCs w:val="20"/>
              </w:rPr>
            </w:pPr>
            <w:r w:rsidRPr="00E87501">
              <w:rPr>
                <w:rFonts w:eastAsia="Times New Roman" w:cs="Times New Roman"/>
                <w:sz w:val="20"/>
                <w:szCs w:val="20"/>
              </w:rPr>
              <w:t>80 %</w:t>
            </w:r>
          </w:p>
          <w:p w:rsidR="009B29D4" w:rsidRPr="00E87501" w:rsidRDefault="009B29D4" w:rsidP="009B29D4">
            <w:pPr>
              <w:bidi w:val="0"/>
              <w:rPr>
                <w:rFonts w:eastAsia="Times New Roman" w:cs="Times New Roman"/>
                <w:sz w:val="20"/>
                <w:szCs w:val="20"/>
              </w:rPr>
            </w:pPr>
          </w:p>
          <w:p w:rsidR="009B29D4" w:rsidRPr="00E87501" w:rsidRDefault="009B29D4" w:rsidP="009B29D4">
            <w:pPr>
              <w:jc w:val="right"/>
              <w:rPr>
                <w:sz w:val="20"/>
                <w:szCs w:val="20"/>
              </w:rPr>
            </w:pPr>
            <w:r w:rsidRPr="00E87501">
              <w:rPr>
                <w:sz w:val="20"/>
                <w:szCs w:val="20"/>
              </w:rPr>
              <w:t>-TJ CSOs strategy created and approved by the Ministry of Legal Affairs.</w:t>
            </w:r>
          </w:p>
          <w:p w:rsidR="009B29D4" w:rsidRPr="00E87501" w:rsidRDefault="009B29D4" w:rsidP="009B29D4">
            <w:pPr>
              <w:jc w:val="right"/>
              <w:rPr>
                <w:sz w:val="20"/>
                <w:szCs w:val="20"/>
              </w:rPr>
            </w:pPr>
            <w:r w:rsidRPr="00E87501">
              <w:rPr>
                <w:sz w:val="20"/>
                <w:szCs w:val="20"/>
              </w:rPr>
              <w:t xml:space="preserve"> </w:t>
            </w:r>
          </w:p>
          <w:p w:rsidR="009B29D4" w:rsidRPr="00E87501" w:rsidRDefault="009B29D4" w:rsidP="009B29D4">
            <w:pPr>
              <w:jc w:val="right"/>
              <w:rPr>
                <w:sz w:val="20"/>
                <w:szCs w:val="20"/>
              </w:rPr>
            </w:pPr>
            <w:r w:rsidRPr="00E87501">
              <w:rPr>
                <w:sz w:val="20"/>
                <w:szCs w:val="20"/>
              </w:rPr>
              <w:t xml:space="preserve">-280 CSOs trained in transitional justice, conflict resolution and reconciliation techniques. </w:t>
            </w:r>
            <w:r w:rsidRPr="00E87501">
              <w:rPr>
                <w:rFonts w:eastAsia="Times New Roman"/>
                <w:sz w:val="20"/>
                <w:szCs w:val="20"/>
              </w:rPr>
              <w:t xml:space="preserve">Out of 280 trained CSOs, 131 applied to became partners of UNDP/OHCHR, to implement activities in local communities. </w:t>
            </w:r>
          </w:p>
          <w:p w:rsidR="009B29D4" w:rsidRPr="00E87501" w:rsidRDefault="009B29D4" w:rsidP="009B29D4">
            <w:pPr>
              <w:jc w:val="right"/>
              <w:rPr>
                <w:rFonts w:eastAsia="Times New Roman"/>
                <w:sz w:val="20"/>
                <w:szCs w:val="20"/>
              </w:rPr>
            </w:pPr>
            <w:r w:rsidRPr="00E87501">
              <w:rPr>
                <w:rFonts w:eastAsia="Times New Roman"/>
                <w:sz w:val="20"/>
                <w:szCs w:val="20"/>
              </w:rPr>
              <w:t xml:space="preserve">Out of 131 CSOs which applied to become partners of UNDP/OHCHR, 31 were shortlisted to be further trained in transitional justice. </w:t>
            </w:r>
          </w:p>
          <w:p w:rsidR="00474642" w:rsidRDefault="00474642" w:rsidP="009B29D4">
            <w:pPr>
              <w:bidi w:val="0"/>
              <w:rPr>
                <w:sz w:val="20"/>
                <w:szCs w:val="20"/>
              </w:rPr>
            </w:pPr>
          </w:p>
          <w:p w:rsidR="009B29D4" w:rsidRDefault="009B29D4" w:rsidP="00474642">
            <w:pPr>
              <w:bidi w:val="0"/>
              <w:rPr>
                <w:sz w:val="20"/>
                <w:szCs w:val="20"/>
              </w:rPr>
            </w:pPr>
            <w:r w:rsidRPr="00E87501">
              <w:rPr>
                <w:sz w:val="20"/>
                <w:szCs w:val="20"/>
              </w:rPr>
              <w:t>Around 60 organizations implemented TJ related projects/activities in 2014, as a result of the direct project’s technical support, through trainings and the consultation process on the TJ Law.</w:t>
            </w:r>
          </w:p>
          <w:p w:rsidR="00474642" w:rsidRDefault="00474642" w:rsidP="00474642">
            <w:pPr>
              <w:bidi w:val="0"/>
              <w:rPr>
                <w:sz w:val="20"/>
                <w:szCs w:val="20"/>
              </w:rPr>
            </w:pPr>
          </w:p>
          <w:p w:rsidR="00474642" w:rsidRDefault="00474642" w:rsidP="00474642">
            <w:pPr>
              <w:bidi w:val="0"/>
              <w:rPr>
                <w:sz w:val="20"/>
                <w:szCs w:val="20"/>
              </w:rPr>
            </w:pPr>
            <w:r>
              <w:rPr>
                <w:sz w:val="20"/>
                <w:szCs w:val="20"/>
              </w:rPr>
              <w:t xml:space="preserve">Partnership with 10 CSOs which ought to operate in 6 Governorates (Sa’ada, Sana’a, Hajjah, Taizz, Abyan and Aden) in preparation (contracts not signed yet). </w:t>
            </w:r>
          </w:p>
          <w:p w:rsidR="00474642" w:rsidRPr="00E87501" w:rsidRDefault="00474642" w:rsidP="00474642">
            <w:pPr>
              <w:bidi w:val="0"/>
              <w:rPr>
                <w:rFonts w:eastAsia="Times New Roman" w:cs="Times New Roman"/>
                <w:sz w:val="20"/>
                <w:szCs w:val="20"/>
              </w:rPr>
            </w:pPr>
          </w:p>
        </w:tc>
        <w:tc>
          <w:tcPr>
            <w:tcW w:w="2019" w:type="dxa"/>
          </w:tcPr>
          <w:p w:rsidR="009B29D4" w:rsidRDefault="009B29D4" w:rsidP="009B29D4">
            <w:pPr>
              <w:bidi w:val="0"/>
              <w:rPr>
                <w:sz w:val="20"/>
                <w:szCs w:val="20"/>
              </w:rPr>
            </w:pPr>
            <w:r w:rsidRPr="00E87501">
              <w:rPr>
                <w:sz w:val="20"/>
                <w:szCs w:val="20"/>
              </w:rPr>
              <w:t>The Ministry of Legal Affairs, requested to postpone implementation of the CSOs small grants fund due to security risks and government restructuring.</w:t>
            </w:r>
          </w:p>
          <w:p w:rsidR="00474642" w:rsidRDefault="00474642" w:rsidP="00474642">
            <w:pPr>
              <w:bidi w:val="0"/>
              <w:rPr>
                <w:sz w:val="20"/>
                <w:szCs w:val="20"/>
              </w:rPr>
            </w:pPr>
          </w:p>
          <w:p w:rsidR="00474642" w:rsidRPr="00E87501" w:rsidRDefault="00474642" w:rsidP="00474642">
            <w:pPr>
              <w:bidi w:val="0"/>
              <w:rPr>
                <w:rFonts w:eastAsia="Times New Roman" w:cs="Times New Roman"/>
                <w:sz w:val="20"/>
                <w:szCs w:val="20"/>
              </w:rPr>
            </w:pPr>
            <w:r>
              <w:rPr>
                <w:sz w:val="20"/>
                <w:szCs w:val="20"/>
              </w:rPr>
              <w:t>The project continued to implement the activity with CSOs and journalists who are stranded in Amman and Cairo. Based on the project’s support, CSOs and journalists and their researchers/partners in Yemen, are documenting violations of humanitarian and human rights law at the moment (partnerships are not officially operationalized)</w:t>
            </w:r>
          </w:p>
        </w:tc>
      </w:tr>
      <w:tr w:rsidR="009B29D4" w:rsidRPr="00937EBB" w:rsidTr="009B29D4">
        <w:trPr>
          <w:trHeight w:val="331"/>
        </w:trPr>
        <w:tc>
          <w:tcPr>
            <w:tcW w:w="2238" w:type="dxa"/>
            <w:shd w:val="clear" w:color="auto" w:fill="F2F2F2" w:themeFill="background1" w:themeFillShade="F2"/>
          </w:tcPr>
          <w:p w:rsidR="009B29D4" w:rsidRPr="009809C0" w:rsidRDefault="009B29D4" w:rsidP="009B29D4">
            <w:pPr>
              <w:rPr>
                <w:sz w:val="20"/>
                <w:szCs w:val="20"/>
              </w:rPr>
            </w:pPr>
            <w:r>
              <w:rPr>
                <w:sz w:val="20"/>
                <w:szCs w:val="20"/>
              </w:rPr>
              <w:t xml:space="preserve">Output 1.7: </w:t>
            </w:r>
            <w:r w:rsidRPr="00E87501">
              <w:rPr>
                <w:rFonts w:cstheme="majorBidi"/>
                <w:bCs/>
                <w:sz w:val="20"/>
                <w:szCs w:val="20"/>
                <w:lang w:val="en-GB"/>
              </w:rPr>
              <w:t xml:space="preserve"> Citizens of Yemen gained knowledge on transitional justice, based on effective outreach and communication campaign</w:t>
            </w:r>
          </w:p>
        </w:tc>
        <w:tc>
          <w:tcPr>
            <w:tcW w:w="3265" w:type="dxa"/>
          </w:tcPr>
          <w:p w:rsidR="009B29D4" w:rsidRPr="00E87501" w:rsidRDefault="009B29D4" w:rsidP="009B29D4">
            <w:pPr>
              <w:bidi w:val="0"/>
              <w:rPr>
                <w:rFonts w:eastAsia="Times New Roman" w:cs="Times New Roman"/>
                <w:bCs/>
                <w:sz w:val="20"/>
                <w:szCs w:val="20"/>
              </w:rPr>
            </w:pPr>
          </w:p>
        </w:tc>
        <w:tc>
          <w:tcPr>
            <w:tcW w:w="2666" w:type="dxa"/>
          </w:tcPr>
          <w:p w:rsidR="009B29D4" w:rsidRPr="00E87501" w:rsidRDefault="009B29D4" w:rsidP="009B29D4">
            <w:pPr>
              <w:pStyle w:val="ListParagraph"/>
              <w:ind w:left="0"/>
              <w:jc w:val="both"/>
              <w:rPr>
                <w:sz w:val="20"/>
                <w:szCs w:val="20"/>
                <w:lang w:val="sr-Cyrl-CS"/>
              </w:rPr>
            </w:pPr>
            <w:r w:rsidRPr="00E87501">
              <w:rPr>
                <w:sz w:val="20"/>
                <w:szCs w:val="20"/>
                <w:lang w:val="sr-Cyrl-CS"/>
              </w:rPr>
              <w:t>50%</w:t>
            </w:r>
          </w:p>
          <w:p w:rsidR="009B29D4" w:rsidRPr="00E87501" w:rsidRDefault="009B29D4" w:rsidP="009B29D4">
            <w:pPr>
              <w:pStyle w:val="ListParagraph"/>
              <w:ind w:left="0"/>
              <w:jc w:val="both"/>
              <w:rPr>
                <w:sz w:val="20"/>
                <w:szCs w:val="20"/>
              </w:rPr>
            </w:pPr>
          </w:p>
          <w:p w:rsidR="009B29D4" w:rsidRPr="00E87501" w:rsidRDefault="009B29D4" w:rsidP="009B29D4">
            <w:pPr>
              <w:pStyle w:val="ListParagraph"/>
              <w:ind w:left="0"/>
              <w:jc w:val="both"/>
              <w:rPr>
                <w:sz w:val="20"/>
                <w:szCs w:val="20"/>
              </w:rPr>
            </w:pPr>
            <w:r w:rsidRPr="00E87501">
              <w:rPr>
                <w:sz w:val="20"/>
                <w:szCs w:val="20"/>
              </w:rPr>
              <w:t xml:space="preserve">-Contract with the agency to conduct TJ survey was signed in December 2014. </w:t>
            </w:r>
          </w:p>
          <w:p w:rsidR="009B29D4" w:rsidRPr="00E87501" w:rsidRDefault="009B29D4" w:rsidP="009B29D4">
            <w:pPr>
              <w:pStyle w:val="ListParagraph"/>
              <w:ind w:left="0"/>
              <w:jc w:val="both"/>
              <w:rPr>
                <w:sz w:val="20"/>
                <w:szCs w:val="20"/>
              </w:rPr>
            </w:pPr>
          </w:p>
          <w:p w:rsidR="009B29D4" w:rsidRPr="00E87501" w:rsidRDefault="009B29D4" w:rsidP="009B29D4">
            <w:pPr>
              <w:jc w:val="both"/>
              <w:rPr>
                <w:rFonts w:cstheme="majorBidi"/>
                <w:sz w:val="20"/>
                <w:szCs w:val="20"/>
              </w:rPr>
            </w:pPr>
            <w:r w:rsidRPr="00E87501">
              <w:rPr>
                <w:rFonts w:cstheme="majorBidi"/>
                <w:sz w:val="20"/>
                <w:szCs w:val="20"/>
              </w:rPr>
              <w:t xml:space="preserve">-MoLA Deputy Minister and Transitional Justice project staff Member gave 10 TV interviews and participated in one Talk show on Satellite Channel Al Shabab to advocate for the role of CSOs in Transitional justice process in Yemen. </w:t>
            </w:r>
          </w:p>
          <w:p w:rsidR="009B29D4" w:rsidRPr="00E87501" w:rsidRDefault="009B29D4" w:rsidP="009B29D4">
            <w:pPr>
              <w:pStyle w:val="ListParagraph"/>
              <w:ind w:left="0"/>
              <w:jc w:val="both"/>
              <w:rPr>
                <w:sz w:val="20"/>
                <w:szCs w:val="20"/>
              </w:rPr>
            </w:pPr>
          </w:p>
          <w:p w:rsidR="009B29D4" w:rsidRPr="00E87501" w:rsidRDefault="009B29D4" w:rsidP="009B29D4">
            <w:pPr>
              <w:pStyle w:val="ListParagraph"/>
              <w:ind w:left="0"/>
              <w:jc w:val="both"/>
              <w:rPr>
                <w:sz w:val="20"/>
                <w:szCs w:val="20"/>
              </w:rPr>
            </w:pPr>
            <w:r w:rsidRPr="00E87501">
              <w:rPr>
                <w:sz w:val="20"/>
                <w:szCs w:val="20"/>
              </w:rPr>
              <w:lastRenderedPageBreak/>
              <w:t xml:space="preserve">-Nine TJ posters created and are prepared for printing and posting. </w:t>
            </w:r>
          </w:p>
        </w:tc>
        <w:tc>
          <w:tcPr>
            <w:tcW w:w="2019" w:type="dxa"/>
          </w:tcPr>
          <w:p w:rsidR="009B29D4" w:rsidRPr="00E87501" w:rsidRDefault="009B29D4" w:rsidP="009B29D4">
            <w:pPr>
              <w:bidi w:val="0"/>
              <w:rPr>
                <w:rFonts w:eastAsia="Times New Roman" w:cs="Times New Roman"/>
                <w:sz w:val="20"/>
                <w:szCs w:val="20"/>
              </w:rPr>
            </w:pPr>
            <w:r w:rsidRPr="00E87501">
              <w:rPr>
                <w:sz w:val="20"/>
                <w:szCs w:val="20"/>
              </w:rPr>
              <w:lastRenderedPageBreak/>
              <w:t>Due to deterioration of political and security situation, outreach activities were postponed based on the request from the Ministry of Legal Affairs.</w:t>
            </w:r>
          </w:p>
        </w:tc>
      </w:tr>
      <w:tr w:rsidR="009B29D4" w:rsidRPr="00937EBB" w:rsidTr="009B29D4">
        <w:trPr>
          <w:trHeight w:val="350"/>
        </w:trPr>
        <w:tc>
          <w:tcPr>
            <w:tcW w:w="2238" w:type="dxa"/>
            <w:shd w:val="clear" w:color="auto" w:fill="F2F2F2" w:themeFill="background1" w:themeFillShade="F2"/>
          </w:tcPr>
          <w:p w:rsidR="009B29D4" w:rsidRPr="009809C0" w:rsidRDefault="009B29D4" w:rsidP="009B29D4">
            <w:pPr>
              <w:rPr>
                <w:sz w:val="20"/>
                <w:szCs w:val="20"/>
                <w:rtl/>
                <w:lang w:bidi="ar-YE"/>
              </w:rPr>
            </w:pPr>
            <w:r>
              <w:rPr>
                <w:sz w:val="20"/>
                <w:szCs w:val="20"/>
              </w:rPr>
              <w:lastRenderedPageBreak/>
              <w:t xml:space="preserve">Output 1.8: </w:t>
            </w:r>
            <w:r w:rsidRPr="00E87501">
              <w:rPr>
                <w:rFonts w:ascii="Calibri" w:hAnsi="Calibri" w:cstheme="majorBidi"/>
                <w:sz w:val="20"/>
                <w:szCs w:val="20"/>
                <w:lang w:val="en-GB"/>
              </w:rPr>
              <w:t xml:space="preserve"> Recommendations defined during educational and consultative events institutionalised</w:t>
            </w:r>
          </w:p>
        </w:tc>
        <w:tc>
          <w:tcPr>
            <w:tcW w:w="3265" w:type="dxa"/>
          </w:tcPr>
          <w:p w:rsidR="009B29D4" w:rsidRPr="00E87501" w:rsidRDefault="009B29D4" w:rsidP="009B29D4">
            <w:pPr>
              <w:bidi w:val="0"/>
              <w:rPr>
                <w:rFonts w:ascii="Calibri" w:eastAsia="Times New Roman" w:hAnsi="Calibri" w:cs="Times New Roman"/>
                <w:sz w:val="20"/>
                <w:szCs w:val="20"/>
              </w:rPr>
            </w:pPr>
          </w:p>
        </w:tc>
        <w:tc>
          <w:tcPr>
            <w:tcW w:w="2666" w:type="dxa"/>
          </w:tcPr>
          <w:p w:rsidR="009B29D4" w:rsidRPr="00E87501" w:rsidRDefault="009B29D4" w:rsidP="009B29D4">
            <w:pPr>
              <w:bidi w:val="0"/>
              <w:rPr>
                <w:rFonts w:ascii="Calibri" w:eastAsia="Times New Roman" w:hAnsi="Calibri" w:cs="Times New Roman"/>
                <w:sz w:val="20"/>
                <w:szCs w:val="20"/>
                <w:lang w:val="sr-Cyrl-CS"/>
              </w:rPr>
            </w:pPr>
            <w:r w:rsidRPr="00E87501">
              <w:rPr>
                <w:rFonts w:ascii="Calibri" w:eastAsia="Times New Roman" w:hAnsi="Calibri" w:cs="Times New Roman"/>
                <w:sz w:val="20"/>
                <w:szCs w:val="20"/>
                <w:lang w:val="sr-Cyrl-CS"/>
              </w:rPr>
              <w:t xml:space="preserve">100% </w:t>
            </w:r>
          </w:p>
          <w:p w:rsidR="009B29D4" w:rsidRPr="00E87501" w:rsidRDefault="009B29D4" w:rsidP="009B29D4">
            <w:pPr>
              <w:bidi w:val="0"/>
              <w:rPr>
                <w:rFonts w:ascii="Calibri" w:eastAsia="Times New Roman" w:hAnsi="Calibri" w:cs="Times New Roman"/>
                <w:sz w:val="20"/>
                <w:szCs w:val="20"/>
                <w:lang w:val="sr-Cyrl-CS"/>
              </w:rPr>
            </w:pPr>
          </w:p>
          <w:p w:rsidR="009B29D4" w:rsidRPr="00E87501" w:rsidRDefault="009B29D4" w:rsidP="009B29D4">
            <w:pPr>
              <w:jc w:val="right"/>
              <w:rPr>
                <w:rFonts w:ascii="Calibri" w:hAnsi="Calibri"/>
                <w:sz w:val="20"/>
                <w:szCs w:val="20"/>
              </w:rPr>
            </w:pPr>
            <w:r w:rsidRPr="00E87501">
              <w:rPr>
                <w:rFonts w:ascii="Calibri" w:hAnsi="Calibri"/>
                <w:sz w:val="20"/>
                <w:szCs w:val="20"/>
              </w:rPr>
              <w:t xml:space="preserve">-More than 400 citizens participated in the consultation process on amending the draft Law on Transitional Justice and National Reconciliation, including those who are widely perceived to have been excluded (Al-Houthis, citizens of Southern Governorates, marginalized groups and others) </w:t>
            </w:r>
          </w:p>
          <w:p w:rsidR="009B29D4" w:rsidRPr="00E87501" w:rsidRDefault="009B29D4" w:rsidP="009B29D4">
            <w:pPr>
              <w:jc w:val="right"/>
              <w:rPr>
                <w:rFonts w:ascii="Calibri" w:hAnsi="Calibri"/>
                <w:sz w:val="20"/>
                <w:szCs w:val="20"/>
              </w:rPr>
            </w:pPr>
          </w:p>
          <w:p w:rsidR="009B29D4" w:rsidRPr="00E87501" w:rsidRDefault="009B29D4" w:rsidP="009B29D4">
            <w:pPr>
              <w:bidi w:val="0"/>
              <w:rPr>
                <w:sz w:val="20"/>
                <w:szCs w:val="20"/>
              </w:rPr>
            </w:pPr>
            <w:r w:rsidRPr="00E87501">
              <w:rPr>
                <w:rFonts w:ascii="Calibri" w:hAnsi="Calibri"/>
                <w:sz w:val="20"/>
                <w:szCs w:val="20"/>
              </w:rPr>
              <w:t xml:space="preserve">-More than 100 recommendations collected during the consultation process inserted in the draft Law on Transitional Justice and National Reconciliation. </w:t>
            </w:r>
            <w:r w:rsidRPr="00E87501">
              <w:rPr>
                <w:sz w:val="20"/>
                <w:szCs w:val="20"/>
              </w:rPr>
              <w:t xml:space="preserve"> It was the first time in Yemen’s history that citizens were directly involved in creation of a legal document. </w:t>
            </w:r>
          </w:p>
          <w:p w:rsidR="009B29D4" w:rsidRPr="00E87501" w:rsidRDefault="009B29D4" w:rsidP="009B29D4">
            <w:pPr>
              <w:bidi w:val="0"/>
              <w:rPr>
                <w:rFonts w:ascii="Calibri" w:hAnsi="Calibri"/>
                <w:sz w:val="20"/>
                <w:szCs w:val="20"/>
              </w:rPr>
            </w:pPr>
          </w:p>
          <w:p w:rsidR="009B29D4" w:rsidRPr="00E87501" w:rsidRDefault="009B29D4" w:rsidP="009B29D4">
            <w:pPr>
              <w:bidi w:val="0"/>
              <w:rPr>
                <w:rFonts w:ascii="Calibri" w:eastAsia="Times New Roman" w:hAnsi="Calibri" w:cs="Times New Roman"/>
                <w:sz w:val="20"/>
                <w:szCs w:val="20"/>
                <w:lang w:val="sr-Cyrl-CS"/>
              </w:rPr>
            </w:pPr>
            <w:r w:rsidRPr="00E87501">
              <w:rPr>
                <w:rFonts w:ascii="Calibri" w:hAnsi="Calibri"/>
                <w:sz w:val="20"/>
                <w:szCs w:val="20"/>
              </w:rPr>
              <w:t>-Partnership with relevant international organisations and embassies created</w:t>
            </w:r>
          </w:p>
        </w:tc>
        <w:tc>
          <w:tcPr>
            <w:tcW w:w="2019" w:type="dxa"/>
          </w:tcPr>
          <w:p w:rsidR="009B29D4" w:rsidRPr="00E87501" w:rsidRDefault="009B29D4" w:rsidP="009B29D4">
            <w:pPr>
              <w:bidi w:val="0"/>
              <w:rPr>
                <w:rFonts w:ascii="Calibri" w:eastAsia="Times New Roman" w:hAnsi="Calibri" w:cs="Times New Roman"/>
                <w:sz w:val="20"/>
                <w:szCs w:val="20"/>
              </w:rPr>
            </w:pPr>
          </w:p>
        </w:tc>
      </w:tr>
      <w:tr w:rsidR="009B29D4" w:rsidRPr="00937EBB" w:rsidTr="009B29D4">
        <w:trPr>
          <w:trHeight w:val="331"/>
        </w:trPr>
        <w:tc>
          <w:tcPr>
            <w:tcW w:w="2238" w:type="dxa"/>
            <w:shd w:val="clear" w:color="auto" w:fill="F2F2F2" w:themeFill="background1" w:themeFillShade="F2"/>
          </w:tcPr>
          <w:p w:rsidR="009B29D4" w:rsidRPr="009809C0" w:rsidRDefault="009B29D4" w:rsidP="009B29D4">
            <w:pPr>
              <w:rPr>
                <w:sz w:val="20"/>
                <w:szCs w:val="20"/>
                <w:rtl/>
                <w:lang w:bidi="ar-YE"/>
              </w:rPr>
            </w:pPr>
            <w:r>
              <w:rPr>
                <w:sz w:val="20"/>
                <w:szCs w:val="20"/>
              </w:rPr>
              <w:t>Output 1.9:</w:t>
            </w:r>
            <w:r w:rsidRPr="00E87501">
              <w:rPr>
                <w:rFonts w:cstheme="majorBidi"/>
                <w:sz w:val="20"/>
                <w:szCs w:val="20"/>
              </w:rPr>
              <w:t xml:space="preserve"> CoI into events of 2011 </w:t>
            </w:r>
            <w:r w:rsidRPr="00E87501">
              <w:rPr>
                <w:rFonts w:cstheme="majorBidi"/>
                <w:iCs/>
                <w:sz w:val="20"/>
                <w:szCs w:val="20"/>
                <w:lang w:val="en-GB"/>
              </w:rPr>
              <w:t>execute its mandate effectively.</w:t>
            </w:r>
          </w:p>
        </w:tc>
        <w:tc>
          <w:tcPr>
            <w:tcW w:w="3265" w:type="dxa"/>
          </w:tcPr>
          <w:p w:rsidR="009B29D4" w:rsidRPr="00E87501" w:rsidRDefault="009B29D4" w:rsidP="009B29D4">
            <w:pPr>
              <w:bidi w:val="0"/>
              <w:rPr>
                <w:rFonts w:eastAsia="Times New Roman" w:cs="Times New Roman"/>
                <w:sz w:val="20"/>
                <w:szCs w:val="20"/>
              </w:rPr>
            </w:pPr>
          </w:p>
        </w:tc>
        <w:tc>
          <w:tcPr>
            <w:tcW w:w="2666" w:type="dxa"/>
          </w:tcPr>
          <w:p w:rsidR="009B29D4" w:rsidRPr="00E87501" w:rsidRDefault="009B29D4" w:rsidP="009B29D4">
            <w:pPr>
              <w:bidi w:val="0"/>
              <w:rPr>
                <w:rFonts w:eastAsia="Times New Roman" w:cs="Times New Roman"/>
                <w:sz w:val="20"/>
                <w:szCs w:val="20"/>
                <w:lang w:val="sr-Cyrl-CS"/>
              </w:rPr>
            </w:pPr>
            <w:r w:rsidRPr="00E87501">
              <w:rPr>
                <w:rFonts w:eastAsia="Times New Roman" w:cs="Times New Roman"/>
                <w:sz w:val="20"/>
                <w:szCs w:val="20"/>
                <w:lang w:val="sr-Cyrl-CS"/>
              </w:rPr>
              <w:t>0%</w:t>
            </w:r>
          </w:p>
        </w:tc>
        <w:tc>
          <w:tcPr>
            <w:tcW w:w="2019" w:type="dxa"/>
          </w:tcPr>
          <w:p w:rsidR="009B29D4" w:rsidRPr="00E87501" w:rsidRDefault="009B29D4" w:rsidP="009B29D4">
            <w:pPr>
              <w:jc w:val="right"/>
              <w:rPr>
                <w:sz w:val="20"/>
                <w:szCs w:val="20"/>
              </w:rPr>
            </w:pPr>
            <w:r w:rsidRPr="00E87501">
              <w:rPr>
                <w:sz w:val="20"/>
                <w:szCs w:val="20"/>
              </w:rPr>
              <w:t xml:space="preserve">Commission of Inquiry has not yet been established, therefore the project could not implement any of its planned activities.   </w:t>
            </w:r>
          </w:p>
          <w:p w:rsidR="009B29D4" w:rsidRPr="00E87501" w:rsidRDefault="009B29D4" w:rsidP="009B29D4">
            <w:pPr>
              <w:bidi w:val="0"/>
              <w:rPr>
                <w:rFonts w:eastAsia="Times New Roman" w:cs="Times New Roman"/>
                <w:sz w:val="20"/>
                <w:szCs w:val="20"/>
              </w:rPr>
            </w:pPr>
          </w:p>
        </w:tc>
      </w:tr>
      <w:tr w:rsidR="006C1A77" w:rsidRPr="00937EBB" w:rsidTr="009B29D4">
        <w:trPr>
          <w:trHeight w:val="331"/>
        </w:trPr>
        <w:tc>
          <w:tcPr>
            <w:tcW w:w="2238" w:type="dxa"/>
            <w:shd w:val="clear" w:color="auto" w:fill="F2F2F2" w:themeFill="background1" w:themeFillShade="F2"/>
          </w:tcPr>
          <w:p w:rsidR="009B29D4" w:rsidRPr="00E87501" w:rsidRDefault="002C428B" w:rsidP="009B29D4">
            <w:pPr>
              <w:jc w:val="right"/>
              <w:rPr>
                <w:i/>
                <w:iCs/>
                <w:sz w:val="20"/>
                <w:szCs w:val="20"/>
                <w:lang w:val="en-GB"/>
              </w:rPr>
            </w:pPr>
            <w:r>
              <w:rPr>
                <w:sz w:val="20"/>
                <w:szCs w:val="20"/>
              </w:rPr>
              <w:t>Output 1.10</w:t>
            </w:r>
            <w:r w:rsidR="009B29D4">
              <w:rPr>
                <w:sz w:val="20"/>
                <w:szCs w:val="20"/>
              </w:rPr>
              <w:t xml:space="preserve">: </w:t>
            </w:r>
            <w:r w:rsidR="009B29D4" w:rsidRPr="00E87501">
              <w:rPr>
                <w:rFonts w:cstheme="majorBidi"/>
                <w:sz w:val="20"/>
                <w:szCs w:val="20"/>
                <w:lang w:val="en-GB"/>
              </w:rPr>
              <w:t xml:space="preserve"> The final report on resolving the land and dismissals issues finalized and presented to the President and compensation policy structured.</w:t>
            </w:r>
          </w:p>
          <w:p w:rsidR="006C1A77" w:rsidRPr="009B29D4" w:rsidRDefault="006C1A77" w:rsidP="006C1A77">
            <w:pPr>
              <w:rPr>
                <w:sz w:val="20"/>
                <w:szCs w:val="20"/>
                <w:rtl/>
                <w:lang w:val="en-GB" w:bidi="ar-YE"/>
              </w:rPr>
            </w:pPr>
          </w:p>
        </w:tc>
        <w:tc>
          <w:tcPr>
            <w:tcW w:w="3265" w:type="dxa"/>
          </w:tcPr>
          <w:p w:rsidR="006C1A77" w:rsidRPr="00E87501" w:rsidRDefault="006C1A77" w:rsidP="009B29D4">
            <w:pPr>
              <w:jc w:val="right"/>
              <w:rPr>
                <w:rFonts w:eastAsia="Times New Roman" w:cs="Times New Roman"/>
                <w:sz w:val="20"/>
                <w:szCs w:val="20"/>
                <w:rtl/>
                <w:lang w:val="en-GB" w:bidi="ar-YE"/>
              </w:rPr>
            </w:pPr>
          </w:p>
        </w:tc>
        <w:tc>
          <w:tcPr>
            <w:tcW w:w="2666" w:type="dxa"/>
          </w:tcPr>
          <w:p w:rsidR="009B29D4" w:rsidRPr="00E87501" w:rsidRDefault="009B29D4" w:rsidP="009B29D4">
            <w:pPr>
              <w:bidi w:val="0"/>
              <w:rPr>
                <w:rFonts w:eastAsia="Times New Roman" w:cs="Times New Roman"/>
                <w:sz w:val="20"/>
                <w:szCs w:val="20"/>
              </w:rPr>
            </w:pPr>
            <w:r w:rsidRPr="00E87501">
              <w:rPr>
                <w:rFonts w:eastAsia="Times New Roman" w:cs="Times New Roman"/>
                <w:sz w:val="20"/>
                <w:szCs w:val="20"/>
              </w:rPr>
              <w:t xml:space="preserve">100% </w:t>
            </w:r>
          </w:p>
          <w:p w:rsidR="009B29D4" w:rsidRPr="00E87501" w:rsidRDefault="009B29D4" w:rsidP="009B29D4">
            <w:pPr>
              <w:bidi w:val="0"/>
              <w:rPr>
                <w:rFonts w:eastAsia="Times New Roman" w:cs="Times New Roman"/>
                <w:sz w:val="20"/>
                <w:szCs w:val="20"/>
              </w:rPr>
            </w:pPr>
          </w:p>
          <w:p w:rsidR="009B29D4" w:rsidRPr="00E87501" w:rsidRDefault="00F80856" w:rsidP="00F80856">
            <w:pPr>
              <w:pStyle w:val="PlainText"/>
              <w:rPr>
                <w:rFonts w:asciiTheme="minorHAnsi" w:hAnsiTheme="minorHAnsi"/>
                <w:sz w:val="20"/>
                <w:szCs w:val="20"/>
              </w:rPr>
            </w:pPr>
            <w:r>
              <w:rPr>
                <w:rFonts w:asciiTheme="minorHAnsi" w:hAnsiTheme="minorHAnsi"/>
                <w:sz w:val="20"/>
                <w:szCs w:val="20"/>
              </w:rPr>
              <w:t>-Around 76</w:t>
            </w:r>
            <w:r w:rsidR="009B29D4" w:rsidRPr="00E87501">
              <w:rPr>
                <w:rFonts w:asciiTheme="minorHAnsi" w:hAnsiTheme="minorHAnsi"/>
                <w:sz w:val="20"/>
                <w:szCs w:val="20"/>
              </w:rPr>
              <w:t xml:space="preserve">,000 cases were solved (the Land Commission finalized </w:t>
            </w:r>
            <w:r>
              <w:rPr>
                <w:rFonts w:asciiTheme="minorHAnsi" w:hAnsiTheme="minorHAnsi"/>
                <w:sz w:val="20"/>
                <w:szCs w:val="20"/>
              </w:rPr>
              <w:t>46</w:t>
            </w:r>
            <w:r w:rsidR="009B29D4" w:rsidRPr="00E87501">
              <w:rPr>
                <w:rFonts w:asciiTheme="minorHAnsi" w:hAnsiTheme="minorHAnsi"/>
                <w:sz w:val="20"/>
                <w:szCs w:val="20"/>
              </w:rPr>
              <w:t>,000 cases whilst the Dismissals Commission finalized</w:t>
            </w:r>
            <w:r>
              <w:rPr>
                <w:rFonts w:asciiTheme="minorHAnsi" w:hAnsiTheme="minorHAnsi"/>
                <w:sz w:val="20"/>
                <w:szCs w:val="20"/>
              </w:rPr>
              <w:t xml:space="preserve"> 3</w:t>
            </w:r>
            <w:r w:rsidR="009B29D4" w:rsidRPr="00E87501">
              <w:rPr>
                <w:rFonts w:asciiTheme="minorHAnsi" w:hAnsiTheme="minorHAnsi"/>
                <w:sz w:val="20"/>
                <w:szCs w:val="20"/>
              </w:rPr>
              <w:t>0,000 cases)</w:t>
            </w:r>
          </w:p>
          <w:p w:rsidR="009B29D4" w:rsidRPr="00E87501" w:rsidRDefault="009B29D4" w:rsidP="009B29D4">
            <w:pPr>
              <w:pStyle w:val="PlainText"/>
              <w:rPr>
                <w:rFonts w:asciiTheme="minorHAnsi" w:hAnsiTheme="minorHAnsi"/>
                <w:sz w:val="20"/>
                <w:szCs w:val="20"/>
              </w:rPr>
            </w:pPr>
            <w:r w:rsidRPr="00E87501">
              <w:rPr>
                <w:rFonts w:asciiTheme="minorHAnsi" w:hAnsiTheme="minorHAnsi"/>
                <w:sz w:val="20"/>
                <w:szCs w:val="20"/>
              </w:rPr>
              <w:t xml:space="preserve"> </w:t>
            </w:r>
          </w:p>
          <w:p w:rsidR="009B29D4" w:rsidRPr="00E87501" w:rsidRDefault="00F80856" w:rsidP="00F80856">
            <w:pPr>
              <w:pStyle w:val="PlainText"/>
              <w:rPr>
                <w:rFonts w:asciiTheme="minorHAnsi" w:hAnsiTheme="minorHAnsi"/>
                <w:sz w:val="20"/>
                <w:szCs w:val="20"/>
              </w:rPr>
            </w:pPr>
            <w:r>
              <w:rPr>
                <w:rFonts w:asciiTheme="minorHAnsi" w:hAnsiTheme="minorHAnsi"/>
                <w:sz w:val="20"/>
                <w:szCs w:val="20"/>
              </w:rPr>
              <w:t>-Around 12</w:t>
            </w:r>
            <w:r w:rsidR="009B29D4" w:rsidRPr="00E87501">
              <w:rPr>
                <w:rFonts w:asciiTheme="minorHAnsi" w:hAnsiTheme="minorHAnsi"/>
                <w:sz w:val="20"/>
                <w:szCs w:val="20"/>
              </w:rPr>
              <w:t xml:space="preserve">0,000 cases were entered into databases (Land Commission entered </w:t>
            </w:r>
            <w:r>
              <w:rPr>
                <w:rFonts w:asciiTheme="minorHAnsi" w:hAnsiTheme="minorHAnsi"/>
                <w:sz w:val="20"/>
                <w:szCs w:val="20"/>
              </w:rPr>
              <w:t>4</w:t>
            </w:r>
            <w:r w:rsidR="009B29D4" w:rsidRPr="00E87501">
              <w:rPr>
                <w:rFonts w:asciiTheme="minorHAnsi" w:hAnsiTheme="minorHAnsi"/>
                <w:sz w:val="20"/>
                <w:szCs w:val="20"/>
              </w:rPr>
              <w:t>0,000 cases, while</w:t>
            </w:r>
            <w:r>
              <w:rPr>
                <w:rFonts w:asciiTheme="minorHAnsi" w:hAnsiTheme="minorHAnsi"/>
                <w:sz w:val="20"/>
                <w:szCs w:val="20"/>
              </w:rPr>
              <w:t xml:space="preserve"> Dismissals Commission entered 8</w:t>
            </w:r>
            <w:r w:rsidR="009B29D4" w:rsidRPr="00E87501">
              <w:rPr>
                <w:rFonts w:asciiTheme="minorHAnsi" w:hAnsiTheme="minorHAnsi"/>
                <w:sz w:val="20"/>
                <w:szCs w:val="20"/>
              </w:rPr>
              <w:t xml:space="preserve">0,000 cases) </w:t>
            </w:r>
          </w:p>
          <w:p w:rsidR="009B29D4" w:rsidRPr="00E87501" w:rsidRDefault="009B29D4" w:rsidP="009B29D4">
            <w:pPr>
              <w:pStyle w:val="PlainText"/>
              <w:rPr>
                <w:rFonts w:asciiTheme="minorHAnsi" w:hAnsiTheme="minorHAnsi"/>
                <w:sz w:val="20"/>
                <w:szCs w:val="20"/>
              </w:rPr>
            </w:pPr>
          </w:p>
          <w:p w:rsidR="009B29D4" w:rsidRPr="00E87501" w:rsidRDefault="009B29D4" w:rsidP="009B29D4">
            <w:pPr>
              <w:pStyle w:val="PlainText"/>
              <w:rPr>
                <w:rFonts w:asciiTheme="minorHAnsi" w:hAnsiTheme="minorHAnsi"/>
                <w:sz w:val="20"/>
                <w:szCs w:val="20"/>
              </w:rPr>
            </w:pPr>
            <w:r w:rsidRPr="00E87501">
              <w:rPr>
                <w:rFonts w:asciiTheme="minorHAnsi" w:hAnsiTheme="minorHAnsi"/>
                <w:sz w:val="20"/>
                <w:szCs w:val="20"/>
              </w:rPr>
              <w:lastRenderedPageBreak/>
              <w:t>-5,547 dismissed individuals were compensated with one time lump sum payment ranging 100,000 YR (around $ 500), after provided technical support to the Compensations Fund.</w:t>
            </w:r>
          </w:p>
          <w:p w:rsidR="009B29D4" w:rsidRPr="00E87501" w:rsidRDefault="009B29D4" w:rsidP="009B29D4">
            <w:pPr>
              <w:pStyle w:val="PlainText"/>
              <w:rPr>
                <w:rFonts w:asciiTheme="minorHAnsi" w:hAnsiTheme="minorHAnsi"/>
                <w:sz w:val="20"/>
                <w:szCs w:val="20"/>
              </w:rPr>
            </w:pPr>
          </w:p>
          <w:p w:rsidR="009B29D4" w:rsidRPr="00E87501" w:rsidRDefault="009B29D4" w:rsidP="009B29D4">
            <w:pPr>
              <w:jc w:val="right"/>
              <w:rPr>
                <w:sz w:val="20"/>
                <w:szCs w:val="20"/>
              </w:rPr>
            </w:pPr>
            <w:r w:rsidRPr="00E87501">
              <w:rPr>
                <w:sz w:val="20"/>
                <w:szCs w:val="20"/>
              </w:rPr>
              <w:t xml:space="preserve">-outreach activities to promote the Commissions’ results were structured and approved by the Commissions (oral history interviews, public testimonies, presentation of results etc.). During 2015 the outreach plan will be implemented. </w:t>
            </w:r>
          </w:p>
          <w:p w:rsidR="009B29D4" w:rsidRPr="00E87501" w:rsidRDefault="009B29D4" w:rsidP="009B29D4">
            <w:pPr>
              <w:rPr>
                <w:sz w:val="20"/>
                <w:szCs w:val="20"/>
              </w:rPr>
            </w:pPr>
          </w:p>
          <w:p w:rsidR="009B29D4" w:rsidRPr="00E87501" w:rsidRDefault="009B29D4" w:rsidP="009B29D4">
            <w:pPr>
              <w:jc w:val="right"/>
              <w:rPr>
                <w:sz w:val="20"/>
                <w:szCs w:val="20"/>
              </w:rPr>
            </w:pPr>
            <w:r w:rsidRPr="00E87501">
              <w:rPr>
                <w:sz w:val="20"/>
                <w:szCs w:val="20"/>
              </w:rPr>
              <w:t>-The Commissions’ web portals were designed and they are fully operating thereby offering information to the public.</w:t>
            </w:r>
          </w:p>
          <w:p w:rsidR="009B29D4" w:rsidRPr="00E87501" w:rsidRDefault="009B29D4" w:rsidP="009B29D4">
            <w:pPr>
              <w:rPr>
                <w:sz w:val="20"/>
                <w:szCs w:val="20"/>
              </w:rPr>
            </w:pPr>
          </w:p>
          <w:p w:rsidR="009B29D4" w:rsidRPr="00E87501" w:rsidRDefault="009B29D4" w:rsidP="009B29D4">
            <w:pPr>
              <w:pStyle w:val="ListParagraph"/>
              <w:numPr>
                <w:ilvl w:val="0"/>
                <w:numId w:val="2"/>
              </w:numPr>
              <w:rPr>
                <w:sz w:val="20"/>
                <w:szCs w:val="20"/>
              </w:rPr>
            </w:pPr>
            <w:r w:rsidRPr="00E87501">
              <w:rPr>
                <w:sz w:val="20"/>
                <w:szCs w:val="20"/>
              </w:rPr>
              <w:t xml:space="preserve">The Land Commission </w:t>
            </w:r>
            <w:hyperlink r:id="rId11" w:history="1">
              <w:r w:rsidRPr="00E87501">
                <w:rPr>
                  <w:rStyle w:val="Hyperlink"/>
                  <w:sz w:val="20"/>
                  <w:szCs w:val="20"/>
                </w:rPr>
                <w:t>http://ccli-ye.com/</w:t>
              </w:r>
            </w:hyperlink>
          </w:p>
          <w:p w:rsidR="009B29D4" w:rsidRPr="00E87501" w:rsidRDefault="009B29D4" w:rsidP="009B29D4">
            <w:pPr>
              <w:pStyle w:val="ListParagraph"/>
              <w:numPr>
                <w:ilvl w:val="0"/>
                <w:numId w:val="2"/>
              </w:numPr>
              <w:rPr>
                <w:sz w:val="20"/>
                <w:szCs w:val="20"/>
              </w:rPr>
            </w:pPr>
            <w:r w:rsidRPr="00E87501">
              <w:rPr>
                <w:sz w:val="20"/>
                <w:szCs w:val="20"/>
              </w:rPr>
              <w:t xml:space="preserve">The Dismissals Commission </w:t>
            </w:r>
            <w:hyperlink r:id="rId12" w:history="1">
              <w:r w:rsidRPr="00E87501">
                <w:rPr>
                  <w:rStyle w:val="Hyperlink"/>
                  <w:sz w:val="20"/>
                  <w:szCs w:val="20"/>
                </w:rPr>
                <w:t>http://cfde2-ye.com/</w:t>
              </w:r>
            </w:hyperlink>
            <w:r w:rsidRPr="00E87501">
              <w:rPr>
                <w:sz w:val="20"/>
                <w:szCs w:val="20"/>
              </w:rPr>
              <w:t xml:space="preserve"> </w:t>
            </w:r>
          </w:p>
          <w:p w:rsidR="009B29D4" w:rsidRPr="00E87501" w:rsidRDefault="009B29D4" w:rsidP="009B29D4">
            <w:pPr>
              <w:rPr>
                <w:sz w:val="20"/>
                <w:szCs w:val="20"/>
              </w:rPr>
            </w:pPr>
          </w:p>
          <w:p w:rsidR="00F80856" w:rsidRDefault="009B29D4" w:rsidP="009B29D4">
            <w:pPr>
              <w:jc w:val="center"/>
              <w:rPr>
                <w:sz w:val="20"/>
                <w:szCs w:val="20"/>
              </w:rPr>
            </w:pPr>
            <w:r w:rsidRPr="00E87501">
              <w:rPr>
                <w:sz w:val="20"/>
                <w:szCs w:val="20"/>
              </w:rPr>
              <w:t>- partnership with relevant international organisations and embassies was created</w:t>
            </w:r>
          </w:p>
          <w:p w:rsidR="00F80856" w:rsidRDefault="00F80856" w:rsidP="009B29D4">
            <w:pPr>
              <w:jc w:val="center"/>
              <w:rPr>
                <w:sz w:val="20"/>
                <w:szCs w:val="20"/>
              </w:rPr>
            </w:pPr>
          </w:p>
          <w:p w:rsidR="00F80856" w:rsidRDefault="00F80856" w:rsidP="00F80856">
            <w:pPr>
              <w:jc w:val="both"/>
              <w:rPr>
                <w:sz w:val="20"/>
                <w:szCs w:val="20"/>
              </w:rPr>
            </w:pPr>
            <w:r>
              <w:rPr>
                <w:sz w:val="20"/>
                <w:szCs w:val="20"/>
              </w:rPr>
              <w:t>More than 50 media local and regional MEDIA outlets have been informing from the Land Commission outreach event (January 2015)</w:t>
            </w:r>
          </w:p>
          <w:p w:rsidR="00F80856" w:rsidRDefault="00F80856" w:rsidP="00F80856">
            <w:pPr>
              <w:jc w:val="both"/>
              <w:rPr>
                <w:sz w:val="20"/>
                <w:szCs w:val="20"/>
              </w:rPr>
            </w:pPr>
          </w:p>
          <w:p w:rsidR="00F80856" w:rsidRDefault="00F80856" w:rsidP="00F80856">
            <w:pPr>
              <w:jc w:val="both"/>
              <w:rPr>
                <w:sz w:val="20"/>
                <w:szCs w:val="20"/>
              </w:rPr>
            </w:pPr>
            <w:r>
              <w:rPr>
                <w:sz w:val="20"/>
                <w:szCs w:val="20"/>
              </w:rPr>
              <w:t xml:space="preserve">UNDP created platform for the victims to publicly address their suffering (regarding land issues) – more than 50 local and regional MEDIA outlets aired public testimonies of more than 10 victims (January 2015) </w:t>
            </w:r>
          </w:p>
          <w:p w:rsidR="006C1A77" w:rsidRPr="009B29D4" w:rsidRDefault="009B29D4" w:rsidP="009B29D4">
            <w:pPr>
              <w:jc w:val="center"/>
            </w:pPr>
            <w:r w:rsidRPr="00E87501">
              <w:rPr>
                <w:sz w:val="20"/>
                <w:szCs w:val="20"/>
              </w:rPr>
              <w:t xml:space="preserve"> </w:t>
            </w:r>
            <w:r w:rsidRPr="00E87501">
              <w:rPr>
                <w:rFonts w:eastAsiaTheme="minorEastAsia"/>
                <w:sz w:val="20"/>
                <w:szCs w:val="20"/>
                <w:lang w:val="en-GB" w:eastAsia="en-GB"/>
              </w:rPr>
              <w:t xml:space="preserve">  </w:t>
            </w:r>
          </w:p>
        </w:tc>
        <w:tc>
          <w:tcPr>
            <w:tcW w:w="2019" w:type="dxa"/>
          </w:tcPr>
          <w:p w:rsidR="006C1A77" w:rsidRPr="00937EBB" w:rsidRDefault="006C1A77" w:rsidP="006C1A77">
            <w:pPr>
              <w:jc w:val="center"/>
            </w:pPr>
          </w:p>
        </w:tc>
      </w:tr>
    </w:tbl>
    <w:p w:rsidR="00810C6A" w:rsidRPr="00810C6A" w:rsidRDefault="00810C6A" w:rsidP="00810C6A">
      <w:pPr>
        <w:bidi w:val="0"/>
        <w:rPr>
          <w:b/>
          <w:bCs/>
          <w:lang w:bidi="ar-YE"/>
        </w:rPr>
      </w:pPr>
    </w:p>
    <w:p w:rsidR="00810C6A" w:rsidRPr="00BD51F2" w:rsidRDefault="00810C6A" w:rsidP="00BD51F2">
      <w:pPr>
        <w:bidi w:val="0"/>
        <w:rPr>
          <w:b/>
          <w:bCs/>
          <w:lang w:bidi="ar-YE"/>
        </w:rPr>
      </w:pPr>
    </w:p>
    <w:p w:rsidR="00810C6A" w:rsidRDefault="00810C6A" w:rsidP="00C00B67">
      <w:pPr>
        <w:pStyle w:val="ListParagraph"/>
        <w:rPr>
          <w:b/>
          <w:bCs/>
          <w:lang w:bidi="ar-YE"/>
        </w:rPr>
      </w:pPr>
    </w:p>
    <w:p w:rsidR="00810C6A" w:rsidRDefault="00810C6A" w:rsidP="00C00B67">
      <w:pPr>
        <w:pStyle w:val="ListParagraph"/>
        <w:rPr>
          <w:b/>
          <w:bCs/>
          <w:lang w:bidi="ar-YE"/>
        </w:rPr>
      </w:pPr>
    </w:p>
    <w:p w:rsidR="00810C6A" w:rsidRDefault="00810C6A" w:rsidP="00C00B67">
      <w:pPr>
        <w:pStyle w:val="ListParagraph"/>
        <w:rPr>
          <w:b/>
          <w:bCs/>
          <w:lang w:bidi="ar-YE"/>
        </w:rPr>
      </w:pPr>
    </w:p>
    <w:p w:rsidR="00810C6A" w:rsidRPr="00BD51F2" w:rsidRDefault="00810C6A" w:rsidP="00BD51F2">
      <w:pPr>
        <w:bidi w:val="0"/>
        <w:rPr>
          <w:b/>
          <w:bCs/>
          <w:lang w:bidi="ar-YE"/>
        </w:rPr>
      </w:pPr>
    </w:p>
    <w:p w:rsidR="005B16A5" w:rsidRPr="00C00B67" w:rsidRDefault="00C00B67" w:rsidP="005F5F7D">
      <w:pPr>
        <w:pStyle w:val="ListParagraph"/>
        <w:numPr>
          <w:ilvl w:val="0"/>
          <w:numId w:val="4"/>
        </w:numPr>
        <w:spacing w:after="0" w:line="240" w:lineRule="auto"/>
        <w:ind w:left="360" w:firstLine="0"/>
        <w:rPr>
          <w:b/>
          <w:bCs/>
          <w:lang w:bidi="ar-YE"/>
        </w:rPr>
      </w:pPr>
      <w:r w:rsidRPr="00C00B67">
        <w:rPr>
          <w:b/>
          <w:bCs/>
          <w:lang w:bidi="ar-YE"/>
        </w:rPr>
        <w:t>Financial reporting against Outputs</w:t>
      </w:r>
    </w:p>
    <w:p w:rsidR="00C00B67" w:rsidRPr="00937EBB" w:rsidRDefault="00C00B67" w:rsidP="00C00B67">
      <w:pPr>
        <w:bidi w:val="0"/>
        <w:spacing w:after="0" w:line="240" w:lineRule="auto"/>
        <w:rPr>
          <w:b/>
          <w:bCs/>
          <w:lang w:bidi="ar-YE"/>
        </w:rPr>
      </w:pPr>
    </w:p>
    <w:p w:rsidR="002832EE" w:rsidRPr="00937EBB" w:rsidRDefault="002832EE" w:rsidP="005F5F7D">
      <w:pPr>
        <w:bidi w:val="0"/>
        <w:spacing w:after="0" w:line="240" w:lineRule="auto"/>
        <w:rPr>
          <w:lang w:bidi="ar-YE"/>
        </w:rPr>
      </w:pPr>
    </w:p>
    <w:tbl>
      <w:tblPr>
        <w:tblStyle w:val="TableGrid2"/>
        <w:tblpPr w:leftFromText="180" w:rightFromText="180" w:vertAnchor="text" w:horzAnchor="margin" w:tblpYSpec="center"/>
        <w:tblW w:w="10259" w:type="dxa"/>
        <w:tblLook w:val="04A0" w:firstRow="1" w:lastRow="0" w:firstColumn="1" w:lastColumn="0" w:noHBand="0" w:noVBand="1"/>
      </w:tblPr>
      <w:tblGrid>
        <w:gridCol w:w="2233"/>
        <w:gridCol w:w="1702"/>
        <w:gridCol w:w="1559"/>
        <w:gridCol w:w="1911"/>
        <w:gridCol w:w="1424"/>
        <w:gridCol w:w="1430"/>
      </w:tblGrid>
      <w:tr w:rsidR="002832EE" w:rsidRPr="00937EBB" w:rsidTr="002832EE">
        <w:trPr>
          <w:trHeight w:val="759"/>
        </w:trPr>
        <w:tc>
          <w:tcPr>
            <w:tcW w:w="10259" w:type="dxa"/>
            <w:gridSpan w:val="6"/>
            <w:shd w:val="clear" w:color="auto" w:fill="C4BC96" w:themeFill="background2" w:themeFillShade="BF"/>
          </w:tcPr>
          <w:p w:rsidR="002832EE" w:rsidRPr="00937EBB" w:rsidRDefault="00C00B67" w:rsidP="005F5F7D">
            <w:pPr>
              <w:jc w:val="center"/>
              <w:rPr>
                <w:b/>
                <w:bCs/>
                <w:sz w:val="32"/>
                <w:szCs w:val="32"/>
                <w:rtl/>
                <w:lang w:bidi="ar-YE"/>
              </w:rPr>
            </w:pPr>
            <w:r>
              <w:rPr>
                <w:b/>
                <w:bCs/>
                <w:sz w:val="32"/>
                <w:szCs w:val="32"/>
              </w:rPr>
              <w:t>Expenditures 1 April</w:t>
            </w:r>
            <w:r w:rsidR="002832EE" w:rsidRPr="00937EBB">
              <w:rPr>
                <w:b/>
                <w:bCs/>
                <w:sz w:val="32"/>
                <w:szCs w:val="32"/>
              </w:rPr>
              <w:t xml:space="preserve"> 2014</w:t>
            </w:r>
            <w:r>
              <w:rPr>
                <w:b/>
                <w:bCs/>
                <w:sz w:val="32"/>
                <w:szCs w:val="32"/>
              </w:rPr>
              <w:t>- 31 March 2015</w:t>
            </w:r>
          </w:p>
        </w:tc>
      </w:tr>
      <w:tr w:rsidR="002832EE" w:rsidRPr="00937EBB" w:rsidTr="002832EE">
        <w:trPr>
          <w:trHeight w:val="759"/>
        </w:trPr>
        <w:tc>
          <w:tcPr>
            <w:tcW w:w="2233" w:type="dxa"/>
            <w:shd w:val="clear" w:color="auto" w:fill="C4BC96" w:themeFill="background2" w:themeFillShade="BF"/>
          </w:tcPr>
          <w:p w:rsidR="002832EE" w:rsidRPr="00937EBB" w:rsidRDefault="00574624" w:rsidP="005F5F7D">
            <w:pPr>
              <w:jc w:val="center"/>
              <w:rPr>
                <w:b/>
                <w:bCs/>
                <w:sz w:val="24"/>
                <w:szCs w:val="24"/>
              </w:rPr>
            </w:pPr>
            <w:r>
              <w:rPr>
                <w:b/>
                <w:bCs/>
                <w:sz w:val="24"/>
                <w:szCs w:val="24"/>
              </w:rPr>
              <w:t>Project Outcome/Output</w:t>
            </w:r>
          </w:p>
          <w:p w:rsidR="002832EE" w:rsidRPr="00937EBB" w:rsidRDefault="002832EE" w:rsidP="005F5F7D">
            <w:pPr>
              <w:jc w:val="center"/>
              <w:rPr>
                <w:b/>
                <w:bCs/>
                <w:sz w:val="24"/>
                <w:szCs w:val="24"/>
              </w:rPr>
            </w:pPr>
          </w:p>
        </w:tc>
        <w:tc>
          <w:tcPr>
            <w:tcW w:w="1702" w:type="dxa"/>
            <w:shd w:val="clear" w:color="auto" w:fill="C4BC96" w:themeFill="background2" w:themeFillShade="BF"/>
          </w:tcPr>
          <w:p w:rsidR="002832EE" w:rsidRPr="00937EBB" w:rsidRDefault="002832EE" w:rsidP="005F5F7D">
            <w:pPr>
              <w:jc w:val="center"/>
              <w:rPr>
                <w:b/>
                <w:bCs/>
                <w:sz w:val="24"/>
                <w:szCs w:val="24"/>
              </w:rPr>
            </w:pPr>
            <w:r w:rsidRPr="00937EBB">
              <w:rPr>
                <w:b/>
                <w:bCs/>
                <w:sz w:val="24"/>
                <w:szCs w:val="24"/>
              </w:rPr>
              <w:t>Budget</w:t>
            </w:r>
          </w:p>
        </w:tc>
        <w:tc>
          <w:tcPr>
            <w:tcW w:w="1559" w:type="dxa"/>
            <w:shd w:val="clear" w:color="auto" w:fill="C4BC96" w:themeFill="background2" w:themeFillShade="BF"/>
          </w:tcPr>
          <w:p w:rsidR="002832EE" w:rsidRPr="00937EBB" w:rsidRDefault="002832EE" w:rsidP="005F5F7D">
            <w:pPr>
              <w:jc w:val="center"/>
              <w:rPr>
                <w:b/>
                <w:bCs/>
                <w:sz w:val="24"/>
                <w:szCs w:val="24"/>
              </w:rPr>
            </w:pPr>
            <w:r w:rsidRPr="00937EBB">
              <w:rPr>
                <w:b/>
                <w:bCs/>
                <w:sz w:val="24"/>
                <w:szCs w:val="24"/>
              </w:rPr>
              <w:t>Total expenses</w:t>
            </w:r>
          </w:p>
        </w:tc>
        <w:tc>
          <w:tcPr>
            <w:tcW w:w="1911" w:type="dxa"/>
            <w:shd w:val="clear" w:color="auto" w:fill="C4BC96" w:themeFill="background2" w:themeFillShade="BF"/>
          </w:tcPr>
          <w:p w:rsidR="002832EE" w:rsidRPr="00937EBB" w:rsidRDefault="002832EE" w:rsidP="005F5F7D">
            <w:pPr>
              <w:jc w:val="center"/>
              <w:rPr>
                <w:b/>
                <w:bCs/>
                <w:sz w:val="24"/>
                <w:szCs w:val="24"/>
              </w:rPr>
            </w:pPr>
            <w:r w:rsidRPr="00937EBB">
              <w:rPr>
                <w:b/>
                <w:bCs/>
                <w:sz w:val="24"/>
                <w:szCs w:val="24"/>
              </w:rPr>
              <w:t>Commitments</w:t>
            </w:r>
          </w:p>
        </w:tc>
        <w:tc>
          <w:tcPr>
            <w:tcW w:w="1424" w:type="dxa"/>
            <w:shd w:val="clear" w:color="auto" w:fill="C4BC96" w:themeFill="background2" w:themeFillShade="BF"/>
          </w:tcPr>
          <w:p w:rsidR="002832EE" w:rsidRPr="00937EBB" w:rsidRDefault="002832EE" w:rsidP="005F5F7D">
            <w:pPr>
              <w:jc w:val="center"/>
              <w:rPr>
                <w:b/>
                <w:bCs/>
                <w:sz w:val="24"/>
                <w:szCs w:val="24"/>
              </w:rPr>
            </w:pPr>
            <w:r w:rsidRPr="00937EBB">
              <w:rPr>
                <w:b/>
                <w:bCs/>
                <w:sz w:val="24"/>
                <w:szCs w:val="24"/>
              </w:rPr>
              <w:t>Balance</w:t>
            </w:r>
          </w:p>
        </w:tc>
        <w:tc>
          <w:tcPr>
            <w:tcW w:w="1430" w:type="dxa"/>
            <w:shd w:val="clear" w:color="auto" w:fill="C4BC96" w:themeFill="background2" w:themeFillShade="BF"/>
          </w:tcPr>
          <w:p w:rsidR="002832EE" w:rsidRPr="00937EBB" w:rsidRDefault="002832EE" w:rsidP="005F5F7D">
            <w:pPr>
              <w:jc w:val="center"/>
              <w:rPr>
                <w:b/>
                <w:bCs/>
                <w:sz w:val="24"/>
                <w:szCs w:val="24"/>
              </w:rPr>
            </w:pPr>
            <w:r w:rsidRPr="00937EBB">
              <w:rPr>
                <w:b/>
                <w:bCs/>
                <w:sz w:val="24"/>
                <w:szCs w:val="24"/>
              </w:rPr>
              <w:t>% utilization</w:t>
            </w:r>
          </w:p>
        </w:tc>
      </w:tr>
      <w:tr w:rsidR="00574624" w:rsidRPr="00937EBB" w:rsidTr="002832EE">
        <w:trPr>
          <w:trHeight w:val="331"/>
        </w:trPr>
        <w:tc>
          <w:tcPr>
            <w:tcW w:w="2233" w:type="dxa"/>
            <w:shd w:val="clear" w:color="auto" w:fill="F2F2F2" w:themeFill="background1" w:themeFillShade="F2"/>
          </w:tcPr>
          <w:p w:rsidR="00574624" w:rsidRPr="00937EBB" w:rsidRDefault="00574624" w:rsidP="00142E65">
            <w:pPr>
              <w:jc w:val="right"/>
            </w:pPr>
            <w:r>
              <w:rPr>
                <w:rtl/>
              </w:rPr>
              <w:t xml:space="preserve"> </w:t>
            </w:r>
            <w:r w:rsidR="00142E65">
              <w:t>Project Outcome</w:t>
            </w:r>
          </w:p>
        </w:tc>
        <w:tc>
          <w:tcPr>
            <w:tcW w:w="1702" w:type="dxa"/>
            <w:shd w:val="clear" w:color="auto" w:fill="F2F2F2" w:themeFill="background1" w:themeFillShade="F2"/>
          </w:tcPr>
          <w:p w:rsidR="00574624" w:rsidRPr="00937EBB" w:rsidRDefault="00574624" w:rsidP="005F5F7D">
            <w:pPr>
              <w:jc w:val="center"/>
            </w:pPr>
          </w:p>
        </w:tc>
        <w:tc>
          <w:tcPr>
            <w:tcW w:w="1559" w:type="dxa"/>
          </w:tcPr>
          <w:p w:rsidR="00574624" w:rsidRPr="00937EBB" w:rsidRDefault="00574624" w:rsidP="005F5F7D">
            <w:pPr>
              <w:jc w:val="center"/>
            </w:pPr>
          </w:p>
        </w:tc>
        <w:tc>
          <w:tcPr>
            <w:tcW w:w="1911" w:type="dxa"/>
          </w:tcPr>
          <w:p w:rsidR="00574624" w:rsidRPr="00937EBB" w:rsidRDefault="00574624" w:rsidP="005F5F7D">
            <w:pPr>
              <w:jc w:val="center"/>
            </w:pPr>
          </w:p>
        </w:tc>
        <w:tc>
          <w:tcPr>
            <w:tcW w:w="1424" w:type="dxa"/>
          </w:tcPr>
          <w:p w:rsidR="00574624" w:rsidRPr="00937EBB" w:rsidRDefault="00574624" w:rsidP="005F5F7D">
            <w:pPr>
              <w:jc w:val="center"/>
            </w:pPr>
          </w:p>
        </w:tc>
        <w:tc>
          <w:tcPr>
            <w:tcW w:w="1430" w:type="dxa"/>
          </w:tcPr>
          <w:p w:rsidR="00574624" w:rsidRPr="00937EBB" w:rsidRDefault="00574624" w:rsidP="00C00B67"/>
        </w:tc>
      </w:tr>
      <w:tr w:rsidR="002832EE" w:rsidRPr="00937EBB" w:rsidTr="002832EE">
        <w:trPr>
          <w:trHeight w:val="331"/>
        </w:trPr>
        <w:tc>
          <w:tcPr>
            <w:tcW w:w="2233" w:type="dxa"/>
            <w:shd w:val="clear" w:color="auto" w:fill="F2F2F2" w:themeFill="background1" w:themeFillShade="F2"/>
          </w:tcPr>
          <w:p w:rsidR="002832EE" w:rsidRPr="00937EBB" w:rsidRDefault="002832EE" w:rsidP="00574624">
            <w:r w:rsidRPr="00937EBB">
              <w:t>Output 1.1</w:t>
            </w:r>
          </w:p>
        </w:tc>
        <w:tc>
          <w:tcPr>
            <w:tcW w:w="1702" w:type="dxa"/>
            <w:shd w:val="clear" w:color="auto" w:fill="F2F2F2" w:themeFill="background1" w:themeFillShade="F2"/>
          </w:tcPr>
          <w:p w:rsidR="002832EE" w:rsidRPr="00937EBB" w:rsidRDefault="008A1BFA" w:rsidP="005F5F7D">
            <w:pPr>
              <w:jc w:val="center"/>
            </w:pPr>
            <w:r>
              <w:t>50,000</w:t>
            </w:r>
          </w:p>
        </w:tc>
        <w:tc>
          <w:tcPr>
            <w:tcW w:w="1559" w:type="dxa"/>
          </w:tcPr>
          <w:p w:rsidR="002832EE" w:rsidRPr="00937EBB" w:rsidRDefault="008A1BFA" w:rsidP="005F5F7D">
            <w:pPr>
              <w:jc w:val="center"/>
            </w:pPr>
            <w:r>
              <w:t>88</w:t>
            </w:r>
          </w:p>
        </w:tc>
        <w:tc>
          <w:tcPr>
            <w:tcW w:w="1911" w:type="dxa"/>
          </w:tcPr>
          <w:p w:rsidR="002832EE" w:rsidRPr="00937EBB" w:rsidRDefault="008A1BFA" w:rsidP="005F5F7D">
            <w:pPr>
              <w:jc w:val="center"/>
            </w:pPr>
            <w:r>
              <w:t>0</w:t>
            </w:r>
          </w:p>
        </w:tc>
        <w:tc>
          <w:tcPr>
            <w:tcW w:w="1424" w:type="dxa"/>
          </w:tcPr>
          <w:p w:rsidR="002832EE" w:rsidRPr="00937EBB" w:rsidRDefault="008A1BFA" w:rsidP="008A1BFA">
            <w:pPr>
              <w:jc w:val="center"/>
            </w:pPr>
            <w:r>
              <w:t>49,912</w:t>
            </w:r>
          </w:p>
        </w:tc>
        <w:tc>
          <w:tcPr>
            <w:tcW w:w="1430" w:type="dxa"/>
          </w:tcPr>
          <w:p w:rsidR="002832EE" w:rsidRPr="00937EBB" w:rsidRDefault="004419D5" w:rsidP="00C00B67">
            <w:r>
              <w:t>0 %</w:t>
            </w:r>
          </w:p>
        </w:tc>
      </w:tr>
      <w:tr w:rsidR="002832EE" w:rsidRPr="00937EBB" w:rsidTr="002832EE">
        <w:trPr>
          <w:trHeight w:val="350"/>
        </w:trPr>
        <w:tc>
          <w:tcPr>
            <w:tcW w:w="2233" w:type="dxa"/>
            <w:shd w:val="clear" w:color="auto" w:fill="F2F2F2" w:themeFill="background1" w:themeFillShade="F2"/>
          </w:tcPr>
          <w:p w:rsidR="002832EE" w:rsidRPr="00937EBB" w:rsidRDefault="002832EE" w:rsidP="00574624">
            <w:r w:rsidRPr="00937EBB">
              <w:t>Output 1.2</w:t>
            </w:r>
          </w:p>
        </w:tc>
        <w:tc>
          <w:tcPr>
            <w:tcW w:w="1702" w:type="dxa"/>
            <w:shd w:val="clear" w:color="auto" w:fill="F2F2F2" w:themeFill="background1" w:themeFillShade="F2"/>
          </w:tcPr>
          <w:p w:rsidR="002832EE" w:rsidRPr="00937EBB" w:rsidRDefault="008A1BFA" w:rsidP="005F5F7D">
            <w:pPr>
              <w:jc w:val="center"/>
            </w:pPr>
            <w:r>
              <w:t>94,580</w:t>
            </w:r>
          </w:p>
        </w:tc>
        <w:tc>
          <w:tcPr>
            <w:tcW w:w="1559" w:type="dxa"/>
          </w:tcPr>
          <w:p w:rsidR="002832EE" w:rsidRPr="00937EBB" w:rsidRDefault="008A1BFA" w:rsidP="005F5F7D">
            <w:pPr>
              <w:jc w:val="center"/>
            </w:pPr>
            <w:r>
              <w:t>49</w:t>
            </w:r>
          </w:p>
        </w:tc>
        <w:tc>
          <w:tcPr>
            <w:tcW w:w="1911" w:type="dxa"/>
          </w:tcPr>
          <w:p w:rsidR="002832EE" w:rsidRPr="00937EBB" w:rsidRDefault="008A1BFA" w:rsidP="005F5F7D">
            <w:pPr>
              <w:jc w:val="center"/>
            </w:pPr>
            <w:r>
              <w:t>0</w:t>
            </w:r>
          </w:p>
        </w:tc>
        <w:tc>
          <w:tcPr>
            <w:tcW w:w="1424" w:type="dxa"/>
          </w:tcPr>
          <w:p w:rsidR="002832EE" w:rsidRPr="00937EBB" w:rsidRDefault="008A1BFA" w:rsidP="005F5F7D">
            <w:pPr>
              <w:jc w:val="center"/>
            </w:pPr>
            <w:r>
              <w:t>94,531</w:t>
            </w:r>
          </w:p>
        </w:tc>
        <w:tc>
          <w:tcPr>
            <w:tcW w:w="1430" w:type="dxa"/>
          </w:tcPr>
          <w:p w:rsidR="002832EE" w:rsidRPr="00937EBB" w:rsidRDefault="004419D5" w:rsidP="00C00B67">
            <w:r>
              <w:t xml:space="preserve">0 </w:t>
            </w:r>
            <w:r w:rsidR="002832EE" w:rsidRPr="00937EBB">
              <w:t>%</w:t>
            </w:r>
          </w:p>
        </w:tc>
      </w:tr>
      <w:tr w:rsidR="002832EE" w:rsidRPr="00937EBB" w:rsidTr="002832EE">
        <w:trPr>
          <w:trHeight w:val="331"/>
        </w:trPr>
        <w:tc>
          <w:tcPr>
            <w:tcW w:w="2233" w:type="dxa"/>
            <w:shd w:val="clear" w:color="auto" w:fill="F2F2F2" w:themeFill="background1" w:themeFillShade="F2"/>
          </w:tcPr>
          <w:p w:rsidR="002832EE" w:rsidRPr="00937EBB" w:rsidRDefault="002832EE" w:rsidP="00574624">
            <w:r w:rsidRPr="00937EBB">
              <w:t>Output 1.3</w:t>
            </w:r>
          </w:p>
        </w:tc>
        <w:tc>
          <w:tcPr>
            <w:tcW w:w="1702" w:type="dxa"/>
            <w:shd w:val="clear" w:color="auto" w:fill="F2F2F2" w:themeFill="background1" w:themeFillShade="F2"/>
          </w:tcPr>
          <w:p w:rsidR="002832EE" w:rsidRPr="00937EBB" w:rsidRDefault="008A1BFA" w:rsidP="005F5F7D">
            <w:pPr>
              <w:jc w:val="center"/>
            </w:pPr>
            <w:r>
              <w:t>100,000</w:t>
            </w:r>
          </w:p>
        </w:tc>
        <w:tc>
          <w:tcPr>
            <w:tcW w:w="1559" w:type="dxa"/>
          </w:tcPr>
          <w:p w:rsidR="002832EE" w:rsidRPr="00937EBB" w:rsidRDefault="008A1BFA" w:rsidP="005F5F7D">
            <w:pPr>
              <w:jc w:val="center"/>
            </w:pPr>
            <w:r>
              <w:t>0</w:t>
            </w:r>
          </w:p>
        </w:tc>
        <w:tc>
          <w:tcPr>
            <w:tcW w:w="1911" w:type="dxa"/>
          </w:tcPr>
          <w:p w:rsidR="002832EE" w:rsidRPr="00937EBB" w:rsidRDefault="008A1BFA" w:rsidP="005F5F7D">
            <w:pPr>
              <w:jc w:val="center"/>
            </w:pPr>
            <w:r>
              <w:t>0</w:t>
            </w:r>
          </w:p>
        </w:tc>
        <w:tc>
          <w:tcPr>
            <w:tcW w:w="1424" w:type="dxa"/>
          </w:tcPr>
          <w:p w:rsidR="002832EE" w:rsidRPr="00937EBB" w:rsidRDefault="008A1BFA" w:rsidP="005F5F7D">
            <w:pPr>
              <w:jc w:val="center"/>
            </w:pPr>
            <w:r>
              <w:t>100,000</w:t>
            </w:r>
          </w:p>
        </w:tc>
        <w:tc>
          <w:tcPr>
            <w:tcW w:w="1430" w:type="dxa"/>
          </w:tcPr>
          <w:p w:rsidR="002832EE" w:rsidRPr="00937EBB" w:rsidRDefault="00C00B67" w:rsidP="00C00B67">
            <w:r>
              <w:rPr>
                <w:rtl/>
              </w:rPr>
              <w:t>%</w:t>
            </w:r>
            <w:r w:rsidR="008A1BFA">
              <w:t xml:space="preserve">0 </w:t>
            </w:r>
          </w:p>
        </w:tc>
      </w:tr>
      <w:tr w:rsidR="002832EE" w:rsidRPr="00937EBB" w:rsidTr="002832EE">
        <w:trPr>
          <w:trHeight w:val="350"/>
        </w:trPr>
        <w:tc>
          <w:tcPr>
            <w:tcW w:w="2233" w:type="dxa"/>
            <w:shd w:val="clear" w:color="auto" w:fill="F2F2F2" w:themeFill="background1" w:themeFillShade="F2"/>
          </w:tcPr>
          <w:p w:rsidR="002832EE" w:rsidRPr="00937EBB" w:rsidRDefault="002832EE" w:rsidP="00574624">
            <w:r w:rsidRPr="00937EBB">
              <w:t>Output 1.4</w:t>
            </w:r>
          </w:p>
        </w:tc>
        <w:tc>
          <w:tcPr>
            <w:tcW w:w="1702" w:type="dxa"/>
            <w:shd w:val="clear" w:color="auto" w:fill="F2F2F2" w:themeFill="background1" w:themeFillShade="F2"/>
          </w:tcPr>
          <w:p w:rsidR="002832EE" w:rsidRPr="00937EBB" w:rsidRDefault="008A1BFA" w:rsidP="005F5F7D">
            <w:pPr>
              <w:jc w:val="center"/>
            </w:pPr>
            <w:r>
              <w:t>50,000</w:t>
            </w:r>
          </w:p>
        </w:tc>
        <w:tc>
          <w:tcPr>
            <w:tcW w:w="1559" w:type="dxa"/>
          </w:tcPr>
          <w:p w:rsidR="002832EE" w:rsidRPr="00937EBB" w:rsidRDefault="008A1BFA" w:rsidP="005F5F7D">
            <w:pPr>
              <w:jc w:val="center"/>
            </w:pPr>
            <w:r>
              <w:t>0</w:t>
            </w:r>
          </w:p>
        </w:tc>
        <w:tc>
          <w:tcPr>
            <w:tcW w:w="1911" w:type="dxa"/>
          </w:tcPr>
          <w:p w:rsidR="002832EE" w:rsidRPr="00937EBB" w:rsidRDefault="008A1BFA" w:rsidP="005F5F7D">
            <w:pPr>
              <w:jc w:val="center"/>
            </w:pPr>
            <w:r>
              <w:t>0</w:t>
            </w:r>
          </w:p>
        </w:tc>
        <w:tc>
          <w:tcPr>
            <w:tcW w:w="1424" w:type="dxa"/>
          </w:tcPr>
          <w:p w:rsidR="002832EE" w:rsidRPr="00937EBB" w:rsidRDefault="008A1BFA" w:rsidP="005F5F7D">
            <w:pPr>
              <w:jc w:val="center"/>
            </w:pPr>
            <w:r>
              <w:t>50,000</w:t>
            </w:r>
          </w:p>
        </w:tc>
        <w:tc>
          <w:tcPr>
            <w:tcW w:w="1430" w:type="dxa"/>
          </w:tcPr>
          <w:p w:rsidR="002832EE" w:rsidRPr="00937EBB" w:rsidRDefault="00C00B67" w:rsidP="00C00B67">
            <w:r>
              <w:rPr>
                <w:rtl/>
              </w:rPr>
              <w:t>%</w:t>
            </w:r>
            <w:r w:rsidR="008A1BFA">
              <w:t xml:space="preserve">0 </w:t>
            </w:r>
          </w:p>
        </w:tc>
      </w:tr>
      <w:tr w:rsidR="002832EE" w:rsidRPr="00937EBB" w:rsidTr="002832EE">
        <w:trPr>
          <w:trHeight w:val="350"/>
        </w:trPr>
        <w:tc>
          <w:tcPr>
            <w:tcW w:w="2233" w:type="dxa"/>
            <w:shd w:val="clear" w:color="auto" w:fill="F2F2F2" w:themeFill="background1" w:themeFillShade="F2"/>
          </w:tcPr>
          <w:p w:rsidR="002832EE" w:rsidRPr="00937EBB" w:rsidRDefault="002832EE" w:rsidP="00574624">
            <w:r w:rsidRPr="00937EBB">
              <w:t>Output 1.</w:t>
            </w:r>
            <w:r w:rsidR="00574624">
              <w:t>5</w:t>
            </w:r>
          </w:p>
        </w:tc>
        <w:tc>
          <w:tcPr>
            <w:tcW w:w="1702" w:type="dxa"/>
            <w:shd w:val="clear" w:color="auto" w:fill="F2F2F2" w:themeFill="background1" w:themeFillShade="F2"/>
          </w:tcPr>
          <w:p w:rsidR="002832EE" w:rsidRPr="00937EBB" w:rsidRDefault="008A1BFA" w:rsidP="005F5F7D">
            <w:pPr>
              <w:jc w:val="center"/>
            </w:pPr>
            <w:r>
              <w:t>50,000</w:t>
            </w:r>
          </w:p>
        </w:tc>
        <w:tc>
          <w:tcPr>
            <w:tcW w:w="1559" w:type="dxa"/>
          </w:tcPr>
          <w:p w:rsidR="002832EE" w:rsidRPr="00937EBB" w:rsidRDefault="008A1BFA" w:rsidP="005F5F7D">
            <w:pPr>
              <w:jc w:val="center"/>
            </w:pPr>
            <w:r>
              <w:t>0</w:t>
            </w:r>
          </w:p>
        </w:tc>
        <w:tc>
          <w:tcPr>
            <w:tcW w:w="1911" w:type="dxa"/>
          </w:tcPr>
          <w:p w:rsidR="002832EE" w:rsidRPr="00937EBB" w:rsidRDefault="008A1BFA" w:rsidP="005F5F7D">
            <w:pPr>
              <w:jc w:val="center"/>
            </w:pPr>
            <w:r>
              <w:t>0</w:t>
            </w:r>
          </w:p>
        </w:tc>
        <w:tc>
          <w:tcPr>
            <w:tcW w:w="1424" w:type="dxa"/>
          </w:tcPr>
          <w:p w:rsidR="002832EE" w:rsidRPr="00937EBB" w:rsidRDefault="008A1BFA" w:rsidP="005F5F7D">
            <w:pPr>
              <w:jc w:val="center"/>
            </w:pPr>
            <w:r>
              <w:t>50,000</w:t>
            </w:r>
          </w:p>
        </w:tc>
        <w:tc>
          <w:tcPr>
            <w:tcW w:w="1430" w:type="dxa"/>
          </w:tcPr>
          <w:p w:rsidR="002832EE" w:rsidRPr="00937EBB" w:rsidRDefault="008A1BFA" w:rsidP="00C00B67">
            <w:r>
              <w:t xml:space="preserve">0 </w:t>
            </w:r>
            <w:r w:rsidR="002832EE" w:rsidRPr="00937EBB">
              <w:t>%</w:t>
            </w:r>
          </w:p>
        </w:tc>
      </w:tr>
      <w:tr w:rsidR="00810C6A" w:rsidRPr="00937EBB" w:rsidTr="002832EE">
        <w:trPr>
          <w:trHeight w:val="350"/>
        </w:trPr>
        <w:tc>
          <w:tcPr>
            <w:tcW w:w="2233" w:type="dxa"/>
            <w:shd w:val="clear" w:color="auto" w:fill="F2F2F2" w:themeFill="background1" w:themeFillShade="F2"/>
          </w:tcPr>
          <w:p w:rsidR="00810C6A" w:rsidRPr="00937EBB" w:rsidRDefault="00810C6A" w:rsidP="00574624">
            <w:r>
              <w:t>Output 1.6</w:t>
            </w:r>
          </w:p>
        </w:tc>
        <w:tc>
          <w:tcPr>
            <w:tcW w:w="1702" w:type="dxa"/>
            <w:shd w:val="clear" w:color="auto" w:fill="F2F2F2" w:themeFill="background1" w:themeFillShade="F2"/>
          </w:tcPr>
          <w:p w:rsidR="00810C6A" w:rsidRPr="00937EBB" w:rsidRDefault="008A1BFA" w:rsidP="005F5F7D">
            <w:pPr>
              <w:jc w:val="center"/>
            </w:pPr>
            <w:r>
              <w:t>60,000</w:t>
            </w:r>
          </w:p>
        </w:tc>
        <w:tc>
          <w:tcPr>
            <w:tcW w:w="1559" w:type="dxa"/>
          </w:tcPr>
          <w:p w:rsidR="00810C6A" w:rsidRPr="00937EBB" w:rsidRDefault="008A1BFA" w:rsidP="005F5F7D">
            <w:pPr>
              <w:jc w:val="center"/>
            </w:pPr>
            <w:r>
              <w:t>26,338</w:t>
            </w:r>
          </w:p>
        </w:tc>
        <w:tc>
          <w:tcPr>
            <w:tcW w:w="1911" w:type="dxa"/>
          </w:tcPr>
          <w:p w:rsidR="00810C6A" w:rsidRPr="00937EBB" w:rsidRDefault="008A1BFA" w:rsidP="005F5F7D">
            <w:pPr>
              <w:jc w:val="center"/>
            </w:pPr>
            <w:r>
              <w:t>0</w:t>
            </w:r>
          </w:p>
        </w:tc>
        <w:tc>
          <w:tcPr>
            <w:tcW w:w="1424" w:type="dxa"/>
          </w:tcPr>
          <w:p w:rsidR="00810C6A" w:rsidRPr="00937EBB" w:rsidRDefault="00820E2D" w:rsidP="005F5F7D">
            <w:pPr>
              <w:jc w:val="center"/>
            </w:pPr>
            <w:r>
              <w:t>33,662</w:t>
            </w:r>
          </w:p>
        </w:tc>
        <w:tc>
          <w:tcPr>
            <w:tcW w:w="1430" w:type="dxa"/>
          </w:tcPr>
          <w:p w:rsidR="00810C6A" w:rsidRPr="00937EBB" w:rsidRDefault="004419D5" w:rsidP="00C00B67">
            <w:r>
              <w:t xml:space="preserve">44 % </w:t>
            </w:r>
          </w:p>
        </w:tc>
      </w:tr>
      <w:tr w:rsidR="00810C6A" w:rsidRPr="00937EBB" w:rsidTr="002832EE">
        <w:trPr>
          <w:trHeight w:val="350"/>
        </w:trPr>
        <w:tc>
          <w:tcPr>
            <w:tcW w:w="2233" w:type="dxa"/>
            <w:shd w:val="clear" w:color="auto" w:fill="F2F2F2" w:themeFill="background1" w:themeFillShade="F2"/>
          </w:tcPr>
          <w:p w:rsidR="00810C6A" w:rsidRPr="00937EBB" w:rsidRDefault="00810C6A" w:rsidP="00574624">
            <w:r>
              <w:t>Output 1.7</w:t>
            </w:r>
          </w:p>
        </w:tc>
        <w:tc>
          <w:tcPr>
            <w:tcW w:w="1702" w:type="dxa"/>
            <w:shd w:val="clear" w:color="auto" w:fill="F2F2F2" w:themeFill="background1" w:themeFillShade="F2"/>
          </w:tcPr>
          <w:p w:rsidR="00810C6A" w:rsidRPr="00937EBB" w:rsidRDefault="008A1BFA" w:rsidP="005F5F7D">
            <w:pPr>
              <w:jc w:val="center"/>
            </w:pPr>
            <w:r>
              <w:t>100,000</w:t>
            </w:r>
          </w:p>
        </w:tc>
        <w:tc>
          <w:tcPr>
            <w:tcW w:w="1559" w:type="dxa"/>
          </w:tcPr>
          <w:p w:rsidR="00810C6A" w:rsidRPr="00937EBB" w:rsidRDefault="00820E2D" w:rsidP="005F5F7D">
            <w:pPr>
              <w:jc w:val="center"/>
            </w:pPr>
            <w:r>
              <w:t>39,700</w:t>
            </w:r>
          </w:p>
        </w:tc>
        <w:tc>
          <w:tcPr>
            <w:tcW w:w="1911" w:type="dxa"/>
          </w:tcPr>
          <w:p w:rsidR="00810C6A" w:rsidRPr="00937EBB" w:rsidRDefault="00820E2D" w:rsidP="005F5F7D">
            <w:pPr>
              <w:jc w:val="center"/>
            </w:pPr>
            <w:r>
              <w:t>0</w:t>
            </w:r>
          </w:p>
        </w:tc>
        <w:tc>
          <w:tcPr>
            <w:tcW w:w="1424" w:type="dxa"/>
          </w:tcPr>
          <w:p w:rsidR="00810C6A" w:rsidRPr="00937EBB" w:rsidRDefault="00820E2D" w:rsidP="005F5F7D">
            <w:pPr>
              <w:jc w:val="center"/>
            </w:pPr>
            <w:r>
              <w:t>63,300</w:t>
            </w:r>
          </w:p>
        </w:tc>
        <w:tc>
          <w:tcPr>
            <w:tcW w:w="1430" w:type="dxa"/>
          </w:tcPr>
          <w:p w:rsidR="00810C6A" w:rsidRPr="00937EBB" w:rsidRDefault="004419D5" w:rsidP="00C00B67">
            <w:r>
              <w:t>40 %</w:t>
            </w:r>
          </w:p>
        </w:tc>
      </w:tr>
      <w:tr w:rsidR="00810C6A" w:rsidRPr="00937EBB" w:rsidTr="002832EE">
        <w:trPr>
          <w:trHeight w:val="350"/>
        </w:trPr>
        <w:tc>
          <w:tcPr>
            <w:tcW w:w="2233" w:type="dxa"/>
            <w:shd w:val="clear" w:color="auto" w:fill="F2F2F2" w:themeFill="background1" w:themeFillShade="F2"/>
          </w:tcPr>
          <w:p w:rsidR="00810C6A" w:rsidRPr="00937EBB" w:rsidRDefault="00810C6A" w:rsidP="00574624">
            <w:r>
              <w:t>Output 1.8</w:t>
            </w:r>
          </w:p>
        </w:tc>
        <w:tc>
          <w:tcPr>
            <w:tcW w:w="1702" w:type="dxa"/>
            <w:shd w:val="clear" w:color="auto" w:fill="F2F2F2" w:themeFill="background1" w:themeFillShade="F2"/>
          </w:tcPr>
          <w:p w:rsidR="00810C6A" w:rsidRPr="00937EBB" w:rsidRDefault="00820E2D" w:rsidP="005F5F7D">
            <w:pPr>
              <w:jc w:val="center"/>
            </w:pPr>
            <w:r>
              <w:t>50,000</w:t>
            </w:r>
          </w:p>
        </w:tc>
        <w:tc>
          <w:tcPr>
            <w:tcW w:w="1559" w:type="dxa"/>
          </w:tcPr>
          <w:p w:rsidR="00810C6A" w:rsidRPr="00937EBB" w:rsidRDefault="00820E2D" w:rsidP="005F5F7D">
            <w:pPr>
              <w:jc w:val="center"/>
            </w:pPr>
            <w:r>
              <w:t>0</w:t>
            </w:r>
          </w:p>
        </w:tc>
        <w:tc>
          <w:tcPr>
            <w:tcW w:w="1911" w:type="dxa"/>
          </w:tcPr>
          <w:p w:rsidR="00810C6A" w:rsidRPr="00937EBB" w:rsidRDefault="00820E2D" w:rsidP="005F5F7D">
            <w:pPr>
              <w:jc w:val="center"/>
            </w:pPr>
            <w:r>
              <w:t>0</w:t>
            </w:r>
          </w:p>
        </w:tc>
        <w:tc>
          <w:tcPr>
            <w:tcW w:w="1424" w:type="dxa"/>
          </w:tcPr>
          <w:p w:rsidR="00810C6A" w:rsidRPr="00937EBB" w:rsidRDefault="00820E2D" w:rsidP="005F5F7D">
            <w:pPr>
              <w:jc w:val="center"/>
            </w:pPr>
            <w:r>
              <w:t>50,000</w:t>
            </w:r>
          </w:p>
        </w:tc>
        <w:tc>
          <w:tcPr>
            <w:tcW w:w="1430" w:type="dxa"/>
          </w:tcPr>
          <w:p w:rsidR="00810C6A" w:rsidRPr="00937EBB" w:rsidRDefault="00820E2D" w:rsidP="00C00B67">
            <w:r>
              <w:t>0 %</w:t>
            </w:r>
          </w:p>
        </w:tc>
      </w:tr>
      <w:tr w:rsidR="00810C6A" w:rsidRPr="00937EBB" w:rsidTr="002832EE">
        <w:trPr>
          <w:trHeight w:val="350"/>
        </w:trPr>
        <w:tc>
          <w:tcPr>
            <w:tcW w:w="2233" w:type="dxa"/>
            <w:shd w:val="clear" w:color="auto" w:fill="F2F2F2" w:themeFill="background1" w:themeFillShade="F2"/>
          </w:tcPr>
          <w:p w:rsidR="00810C6A" w:rsidRPr="00937EBB" w:rsidRDefault="00810C6A" w:rsidP="00574624">
            <w:r>
              <w:t>Output 1.9</w:t>
            </w:r>
          </w:p>
        </w:tc>
        <w:tc>
          <w:tcPr>
            <w:tcW w:w="1702" w:type="dxa"/>
            <w:shd w:val="clear" w:color="auto" w:fill="F2F2F2" w:themeFill="background1" w:themeFillShade="F2"/>
          </w:tcPr>
          <w:p w:rsidR="00810C6A" w:rsidRPr="00937EBB" w:rsidRDefault="00820E2D" w:rsidP="005F5F7D">
            <w:pPr>
              <w:jc w:val="center"/>
            </w:pPr>
            <w:r>
              <w:t>100,000</w:t>
            </w:r>
          </w:p>
        </w:tc>
        <w:tc>
          <w:tcPr>
            <w:tcW w:w="1559" w:type="dxa"/>
          </w:tcPr>
          <w:p w:rsidR="00810C6A" w:rsidRPr="00937EBB" w:rsidRDefault="00820E2D" w:rsidP="005F5F7D">
            <w:pPr>
              <w:jc w:val="center"/>
            </w:pPr>
            <w:r>
              <w:t>0</w:t>
            </w:r>
          </w:p>
        </w:tc>
        <w:tc>
          <w:tcPr>
            <w:tcW w:w="1911" w:type="dxa"/>
          </w:tcPr>
          <w:p w:rsidR="00810C6A" w:rsidRPr="00937EBB" w:rsidRDefault="00820E2D" w:rsidP="005F5F7D">
            <w:pPr>
              <w:jc w:val="center"/>
            </w:pPr>
            <w:r>
              <w:t>0</w:t>
            </w:r>
          </w:p>
        </w:tc>
        <w:tc>
          <w:tcPr>
            <w:tcW w:w="1424" w:type="dxa"/>
          </w:tcPr>
          <w:p w:rsidR="00810C6A" w:rsidRPr="00937EBB" w:rsidRDefault="00820E2D" w:rsidP="005F5F7D">
            <w:pPr>
              <w:jc w:val="center"/>
            </w:pPr>
            <w:r>
              <w:t>100,000</w:t>
            </w:r>
          </w:p>
        </w:tc>
        <w:tc>
          <w:tcPr>
            <w:tcW w:w="1430" w:type="dxa"/>
          </w:tcPr>
          <w:p w:rsidR="00810C6A" w:rsidRPr="00937EBB" w:rsidRDefault="00820E2D" w:rsidP="00C00B67">
            <w:r>
              <w:t>0 %</w:t>
            </w:r>
          </w:p>
        </w:tc>
      </w:tr>
      <w:tr w:rsidR="00810C6A" w:rsidRPr="00937EBB" w:rsidTr="002832EE">
        <w:trPr>
          <w:trHeight w:val="350"/>
        </w:trPr>
        <w:tc>
          <w:tcPr>
            <w:tcW w:w="2233" w:type="dxa"/>
            <w:shd w:val="clear" w:color="auto" w:fill="F2F2F2" w:themeFill="background1" w:themeFillShade="F2"/>
          </w:tcPr>
          <w:p w:rsidR="00810C6A" w:rsidRPr="00937EBB" w:rsidRDefault="00810C6A" w:rsidP="00574624">
            <w:r>
              <w:t>Output 1.10</w:t>
            </w:r>
          </w:p>
        </w:tc>
        <w:tc>
          <w:tcPr>
            <w:tcW w:w="1702" w:type="dxa"/>
            <w:shd w:val="clear" w:color="auto" w:fill="F2F2F2" w:themeFill="background1" w:themeFillShade="F2"/>
          </w:tcPr>
          <w:p w:rsidR="00810C6A" w:rsidRPr="00937EBB" w:rsidRDefault="00820E2D" w:rsidP="005F5F7D">
            <w:pPr>
              <w:jc w:val="center"/>
            </w:pPr>
            <w:r>
              <w:t>100,000</w:t>
            </w:r>
          </w:p>
        </w:tc>
        <w:tc>
          <w:tcPr>
            <w:tcW w:w="1559" w:type="dxa"/>
          </w:tcPr>
          <w:p w:rsidR="00810C6A" w:rsidRPr="00937EBB" w:rsidRDefault="00820E2D" w:rsidP="005F5F7D">
            <w:pPr>
              <w:jc w:val="center"/>
            </w:pPr>
            <w:r>
              <w:t>0</w:t>
            </w:r>
          </w:p>
        </w:tc>
        <w:tc>
          <w:tcPr>
            <w:tcW w:w="1911" w:type="dxa"/>
          </w:tcPr>
          <w:p w:rsidR="00810C6A" w:rsidRPr="00937EBB" w:rsidRDefault="00820E2D" w:rsidP="005F5F7D">
            <w:pPr>
              <w:jc w:val="center"/>
            </w:pPr>
            <w:r>
              <w:t>0</w:t>
            </w:r>
          </w:p>
        </w:tc>
        <w:tc>
          <w:tcPr>
            <w:tcW w:w="1424" w:type="dxa"/>
          </w:tcPr>
          <w:p w:rsidR="00810C6A" w:rsidRPr="00937EBB" w:rsidRDefault="00820E2D" w:rsidP="005F5F7D">
            <w:pPr>
              <w:jc w:val="center"/>
            </w:pPr>
            <w:r>
              <w:t>100,000</w:t>
            </w:r>
          </w:p>
        </w:tc>
        <w:tc>
          <w:tcPr>
            <w:tcW w:w="1430" w:type="dxa"/>
          </w:tcPr>
          <w:p w:rsidR="00810C6A" w:rsidRPr="00937EBB" w:rsidRDefault="00820E2D" w:rsidP="00C00B67">
            <w:r>
              <w:t>0 %</w:t>
            </w:r>
          </w:p>
        </w:tc>
      </w:tr>
      <w:tr w:rsidR="002832EE" w:rsidRPr="00937EBB" w:rsidTr="002832EE">
        <w:trPr>
          <w:trHeight w:val="350"/>
        </w:trPr>
        <w:tc>
          <w:tcPr>
            <w:tcW w:w="2233" w:type="dxa"/>
            <w:shd w:val="clear" w:color="auto" w:fill="F2F2F2" w:themeFill="background1" w:themeFillShade="F2"/>
          </w:tcPr>
          <w:p w:rsidR="002832EE" w:rsidRPr="00937EBB" w:rsidRDefault="002832EE" w:rsidP="005F5F7D">
            <w:pPr>
              <w:rPr>
                <w:b/>
                <w:bCs/>
              </w:rPr>
            </w:pPr>
            <w:r w:rsidRPr="00937EBB">
              <w:rPr>
                <w:b/>
                <w:bCs/>
              </w:rPr>
              <w:t>Total</w:t>
            </w:r>
            <w:r w:rsidR="002E114D">
              <w:rPr>
                <w:b/>
                <w:bCs/>
              </w:rPr>
              <w:t xml:space="preserve"> for activities</w:t>
            </w:r>
          </w:p>
        </w:tc>
        <w:tc>
          <w:tcPr>
            <w:tcW w:w="1702" w:type="dxa"/>
            <w:shd w:val="clear" w:color="auto" w:fill="F2F2F2" w:themeFill="background1" w:themeFillShade="F2"/>
          </w:tcPr>
          <w:p w:rsidR="002832EE" w:rsidRPr="00937EBB" w:rsidRDefault="00820E2D" w:rsidP="005F5F7D">
            <w:pPr>
              <w:jc w:val="center"/>
            </w:pPr>
            <w:r>
              <w:t>754,580</w:t>
            </w:r>
          </w:p>
        </w:tc>
        <w:tc>
          <w:tcPr>
            <w:tcW w:w="1559" w:type="dxa"/>
          </w:tcPr>
          <w:p w:rsidR="002832EE" w:rsidRPr="00937EBB" w:rsidRDefault="00820E2D" w:rsidP="005F5F7D">
            <w:pPr>
              <w:jc w:val="center"/>
            </w:pPr>
            <w:r>
              <w:t>66,175</w:t>
            </w:r>
            <w:r w:rsidR="002A2660">
              <w:rPr>
                <w:rStyle w:val="FootnoteReference"/>
              </w:rPr>
              <w:footnoteReference w:id="1"/>
            </w:r>
          </w:p>
        </w:tc>
        <w:tc>
          <w:tcPr>
            <w:tcW w:w="1911" w:type="dxa"/>
          </w:tcPr>
          <w:p w:rsidR="002832EE" w:rsidRPr="00937EBB" w:rsidRDefault="002832EE" w:rsidP="005F5F7D">
            <w:pPr>
              <w:jc w:val="center"/>
            </w:pPr>
          </w:p>
        </w:tc>
        <w:tc>
          <w:tcPr>
            <w:tcW w:w="1424" w:type="dxa"/>
          </w:tcPr>
          <w:p w:rsidR="002832EE" w:rsidRPr="00937EBB" w:rsidRDefault="002E114D" w:rsidP="005F5F7D">
            <w:pPr>
              <w:jc w:val="center"/>
            </w:pPr>
            <w:r>
              <w:t>688,405</w:t>
            </w:r>
          </w:p>
        </w:tc>
        <w:tc>
          <w:tcPr>
            <w:tcW w:w="1430" w:type="dxa"/>
          </w:tcPr>
          <w:p w:rsidR="002832EE" w:rsidRPr="00937EBB" w:rsidRDefault="000E6BE1" w:rsidP="00C00B67">
            <w:r>
              <w:t xml:space="preserve"> 9 %</w:t>
            </w:r>
          </w:p>
        </w:tc>
      </w:tr>
      <w:tr w:rsidR="002E114D" w:rsidRPr="00937EBB" w:rsidTr="00E85AAD">
        <w:trPr>
          <w:trHeight w:val="350"/>
        </w:trPr>
        <w:tc>
          <w:tcPr>
            <w:tcW w:w="2233" w:type="dxa"/>
            <w:shd w:val="clear" w:color="auto" w:fill="F2F2F2" w:themeFill="background1" w:themeFillShade="F2"/>
          </w:tcPr>
          <w:p w:rsidR="002E114D" w:rsidRPr="00937EBB" w:rsidRDefault="002E114D" w:rsidP="005F5F7D">
            <w:pPr>
              <w:rPr>
                <w:b/>
                <w:bCs/>
              </w:rPr>
            </w:pPr>
            <w:r>
              <w:rPr>
                <w:b/>
                <w:bCs/>
              </w:rPr>
              <w:t>Monitoring and evaluation</w:t>
            </w:r>
          </w:p>
        </w:tc>
        <w:tc>
          <w:tcPr>
            <w:tcW w:w="1702" w:type="dxa"/>
            <w:shd w:val="clear" w:color="auto" w:fill="F2F2F2" w:themeFill="background1" w:themeFillShade="F2"/>
          </w:tcPr>
          <w:p w:rsidR="002E114D" w:rsidRDefault="002E114D" w:rsidP="005F5F7D">
            <w:pPr>
              <w:jc w:val="center"/>
            </w:pPr>
            <w:r>
              <w:rPr>
                <w:spacing w:val="-3"/>
                <w:lang w:val="en-GB"/>
              </w:rPr>
              <w:t>71,345.93</w:t>
            </w:r>
          </w:p>
        </w:tc>
        <w:tc>
          <w:tcPr>
            <w:tcW w:w="6324" w:type="dxa"/>
            <w:gridSpan w:val="4"/>
          </w:tcPr>
          <w:p w:rsidR="002E114D" w:rsidRPr="00937EBB" w:rsidRDefault="002E114D" w:rsidP="00C00B67"/>
        </w:tc>
      </w:tr>
      <w:tr w:rsidR="002E114D" w:rsidRPr="00937EBB" w:rsidTr="00B73DA1">
        <w:trPr>
          <w:trHeight w:val="350"/>
        </w:trPr>
        <w:tc>
          <w:tcPr>
            <w:tcW w:w="2233" w:type="dxa"/>
            <w:shd w:val="clear" w:color="auto" w:fill="F2F2F2" w:themeFill="background1" w:themeFillShade="F2"/>
          </w:tcPr>
          <w:p w:rsidR="002E114D" w:rsidRPr="00937EBB" w:rsidRDefault="002E114D" w:rsidP="005F5F7D">
            <w:pPr>
              <w:rPr>
                <w:b/>
                <w:bCs/>
              </w:rPr>
            </w:pPr>
            <w:r>
              <w:rPr>
                <w:b/>
                <w:bCs/>
              </w:rPr>
              <w:t>Staff and other personnel</w:t>
            </w:r>
          </w:p>
        </w:tc>
        <w:tc>
          <w:tcPr>
            <w:tcW w:w="1702" w:type="dxa"/>
            <w:shd w:val="clear" w:color="auto" w:fill="F2F2F2" w:themeFill="background1" w:themeFillShade="F2"/>
          </w:tcPr>
          <w:p w:rsidR="002E114D" w:rsidRDefault="002E114D" w:rsidP="005F5F7D">
            <w:pPr>
              <w:jc w:val="center"/>
            </w:pPr>
            <w:r>
              <w:t>100,000</w:t>
            </w:r>
          </w:p>
        </w:tc>
        <w:tc>
          <w:tcPr>
            <w:tcW w:w="6324" w:type="dxa"/>
            <w:gridSpan w:val="4"/>
          </w:tcPr>
          <w:p w:rsidR="002E114D" w:rsidRPr="00937EBB" w:rsidRDefault="002E114D" w:rsidP="00C00B67"/>
        </w:tc>
      </w:tr>
      <w:tr w:rsidR="002E114D" w:rsidRPr="00937EBB" w:rsidTr="00733653">
        <w:trPr>
          <w:trHeight w:val="350"/>
        </w:trPr>
        <w:tc>
          <w:tcPr>
            <w:tcW w:w="2233" w:type="dxa"/>
            <w:shd w:val="clear" w:color="auto" w:fill="F2F2F2" w:themeFill="background1" w:themeFillShade="F2"/>
          </w:tcPr>
          <w:p w:rsidR="002E114D" w:rsidRPr="00937EBB" w:rsidRDefault="002E114D" w:rsidP="005F5F7D">
            <w:pPr>
              <w:rPr>
                <w:b/>
                <w:bCs/>
              </w:rPr>
            </w:pPr>
            <w:r>
              <w:rPr>
                <w:b/>
                <w:bCs/>
              </w:rPr>
              <w:t>GMS (8%)</w:t>
            </w:r>
          </w:p>
        </w:tc>
        <w:tc>
          <w:tcPr>
            <w:tcW w:w="1702" w:type="dxa"/>
            <w:shd w:val="clear" w:color="auto" w:fill="F2F2F2" w:themeFill="background1" w:themeFillShade="F2"/>
          </w:tcPr>
          <w:p w:rsidR="002E114D" w:rsidRDefault="002E114D" w:rsidP="005F5F7D">
            <w:pPr>
              <w:jc w:val="center"/>
            </w:pPr>
            <w:r>
              <w:t>74,074.07</w:t>
            </w:r>
          </w:p>
        </w:tc>
        <w:tc>
          <w:tcPr>
            <w:tcW w:w="6324" w:type="dxa"/>
            <w:gridSpan w:val="4"/>
          </w:tcPr>
          <w:p w:rsidR="002E114D" w:rsidRPr="00937EBB" w:rsidRDefault="002E114D" w:rsidP="00C00B67"/>
        </w:tc>
      </w:tr>
      <w:tr w:rsidR="002E114D" w:rsidRPr="00937EBB" w:rsidTr="00733653">
        <w:trPr>
          <w:trHeight w:val="350"/>
        </w:trPr>
        <w:tc>
          <w:tcPr>
            <w:tcW w:w="2233" w:type="dxa"/>
            <w:shd w:val="clear" w:color="auto" w:fill="F2F2F2" w:themeFill="background1" w:themeFillShade="F2"/>
          </w:tcPr>
          <w:p w:rsidR="002E114D" w:rsidRDefault="002E114D" w:rsidP="005F5F7D">
            <w:pPr>
              <w:rPr>
                <w:b/>
                <w:bCs/>
              </w:rPr>
            </w:pPr>
            <w:r>
              <w:rPr>
                <w:b/>
                <w:bCs/>
              </w:rPr>
              <w:t>TOTAL</w:t>
            </w:r>
          </w:p>
        </w:tc>
        <w:tc>
          <w:tcPr>
            <w:tcW w:w="1702" w:type="dxa"/>
            <w:shd w:val="clear" w:color="auto" w:fill="F2F2F2" w:themeFill="background1" w:themeFillShade="F2"/>
          </w:tcPr>
          <w:p w:rsidR="002E114D" w:rsidRDefault="002E114D" w:rsidP="005F5F7D">
            <w:pPr>
              <w:jc w:val="center"/>
            </w:pPr>
            <w:r>
              <w:t>1,000,000</w:t>
            </w:r>
          </w:p>
        </w:tc>
        <w:tc>
          <w:tcPr>
            <w:tcW w:w="6324" w:type="dxa"/>
            <w:gridSpan w:val="4"/>
          </w:tcPr>
          <w:p w:rsidR="002E114D" w:rsidRPr="00937EBB" w:rsidRDefault="002E114D" w:rsidP="00C00B67"/>
        </w:tc>
      </w:tr>
    </w:tbl>
    <w:p w:rsidR="002832EE" w:rsidRDefault="002832EE" w:rsidP="005F5F7D">
      <w:pPr>
        <w:bidi w:val="0"/>
        <w:spacing w:after="0" w:line="240" w:lineRule="auto"/>
        <w:ind w:left="360"/>
        <w:rPr>
          <w:rFonts w:asciiTheme="majorBidi" w:hAnsiTheme="majorBidi" w:cstheme="majorBidi"/>
          <w:b/>
          <w:bCs/>
          <w:lang w:bidi="ar-YE"/>
        </w:rPr>
      </w:pPr>
    </w:p>
    <w:p w:rsidR="00D15C87" w:rsidRDefault="00D15C87" w:rsidP="00D15C87">
      <w:pPr>
        <w:bidi w:val="0"/>
        <w:spacing w:after="0" w:line="240" w:lineRule="auto"/>
        <w:ind w:left="360"/>
        <w:rPr>
          <w:rFonts w:asciiTheme="majorBidi" w:hAnsiTheme="majorBidi" w:cstheme="majorBidi"/>
          <w:b/>
          <w:bCs/>
          <w:lang w:bidi="ar-YE"/>
        </w:rPr>
      </w:pPr>
    </w:p>
    <w:p w:rsidR="00D15C87" w:rsidRDefault="00D15C87" w:rsidP="00D15C87">
      <w:pPr>
        <w:bidi w:val="0"/>
        <w:spacing w:after="0" w:line="240" w:lineRule="auto"/>
        <w:ind w:left="360"/>
        <w:rPr>
          <w:rFonts w:asciiTheme="majorBidi" w:hAnsiTheme="majorBidi" w:cstheme="majorBidi"/>
          <w:b/>
          <w:bCs/>
          <w:lang w:bidi="ar-YE"/>
        </w:rPr>
      </w:pPr>
    </w:p>
    <w:p w:rsidR="00D15C87" w:rsidRDefault="00D15C87" w:rsidP="00D15C87">
      <w:pPr>
        <w:bidi w:val="0"/>
        <w:spacing w:after="0" w:line="240" w:lineRule="auto"/>
        <w:ind w:left="360"/>
        <w:rPr>
          <w:rFonts w:asciiTheme="majorBidi" w:hAnsiTheme="majorBidi" w:cstheme="majorBidi"/>
          <w:b/>
          <w:bCs/>
          <w:lang w:bidi="ar-YE"/>
        </w:rPr>
      </w:pPr>
    </w:p>
    <w:p w:rsidR="00D15C87" w:rsidRDefault="00D15C87" w:rsidP="00D15C87">
      <w:pPr>
        <w:bidi w:val="0"/>
        <w:spacing w:after="0" w:line="240" w:lineRule="auto"/>
        <w:ind w:left="360"/>
        <w:rPr>
          <w:rFonts w:asciiTheme="majorBidi" w:hAnsiTheme="majorBidi" w:cstheme="majorBidi"/>
          <w:b/>
          <w:bCs/>
          <w:lang w:bidi="ar-YE"/>
        </w:rPr>
      </w:pPr>
    </w:p>
    <w:p w:rsidR="00D15C87" w:rsidRDefault="00D15C87" w:rsidP="00D15C87">
      <w:pPr>
        <w:bidi w:val="0"/>
        <w:spacing w:after="0" w:line="240" w:lineRule="auto"/>
        <w:ind w:left="360"/>
        <w:rPr>
          <w:rFonts w:asciiTheme="majorBidi" w:hAnsiTheme="majorBidi" w:cstheme="majorBidi"/>
          <w:b/>
          <w:bCs/>
          <w:lang w:bidi="ar-YE"/>
        </w:rPr>
      </w:pPr>
    </w:p>
    <w:p w:rsidR="00D15C87" w:rsidRDefault="00D15C87" w:rsidP="00D15C87">
      <w:pPr>
        <w:bidi w:val="0"/>
        <w:spacing w:after="0" w:line="240" w:lineRule="auto"/>
        <w:ind w:left="360"/>
        <w:rPr>
          <w:rFonts w:asciiTheme="majorBidi" w:hAnsiTheme="majorBidi" w:cstheme="majorBidi"/>
          <w:b/>
          <w:bCs/>
          <w:lang w:bidi="ar-YE"/>
        </w:rPr>
      </w:pPr>
    </w:p>
    <w:p w:rsidR="00D15C87" w:rsidRDefault="00D15C87" w:rsidP="00D15C87">
      <w:pPr>
        <w:bidi w:val="0"/>
        <w:spacing w:after="0" w:line="240" w:lineRule="auto"/>
        <w:ind w:left="360"/>
        <w:rPr>
          <w:rFonts w:asciiTheme="majorBidi" w:hAnsiTheme="majorBidi" w:cstheme="majorBidi"/>
          <w:b/>
          <w:bCs/>
          <w:lang w:bidi="ar-YE"/>
        </w:rPr>
      </w:pPr>
    </w:p>
    <w:p w:rsidR="009809C0" w:rsidRDefault="009809C0" w:rsidP="009809C0">
      <w:pPr>
        <w:bidi w:val="0"/>
        <w:spacing w:after="0" w:line="240" w:lineRule="auto"/>
        <w:ind w:left="360"/>
        <w:rPr>
          <w:rFonts w:asciiTheme="majorBidi" w:hAnsiTheme="majorBidi" w:cstheme="majorBidi"/>
          <w:b/>
          <w:bCs/>
          <w:lang w:bidi="ar-YE"/>
        </w:rPr>
      </w:pPr>
    </w:p>
    <w:p w:rsidR="00BD51F2" w:rsidRDefault="00BD51F2" w:rsidP="00BD51F2">
      <w:pPr>
        <w:bidi w:val="0"/>
        <w:spacing w:after="0" w:line="240" w:lineRule="auto"/>
        <w:ind w:left="360"/>
        <w:rPr>
          <w:rFonts w:asciiTheme="majorBidi" w:hAnsiTheme="majorBidi" w:cstheme="majorBidi"/>
          <w:b/>
          <w:bCs/>
          <w:lang w:bidi="ar-YE"/>
        </w:rPr>
      </w:pPr>
    </w:p>
    <w:p w:rsidR="00BD51F2" w:rsidRDefault="00BD51F2" w:rsidP="00BD51F2">
      <w:pPr>
        <w:bidi w:val="0"/>
        <w:spacing w:after="0" w:line="240" w:lineRule="auto"/>
        <w:ind w:left="360"/>
        <w:rPr>
          <w:rFonts w:asciiTheme="majorBidi" w:hAnsiTheme="majorBidi" w:cstheme="majorBidi"/>
          <w:b/>
          <w:bCs/>
          <w:lang w:bidi="ar-YE"/>
        </w:rPr>
      </w:pPr>
    </w:p>
    <w:p w:rsidR="00BD51F2" w:rsidRPr="00937EBB" w:rsidRDefault="00BD51F2" w:rsidP="00BD51F2">
      <w:pPr>
        <w:bidi w:val="0"/>
        <w:spacing w:after="0" w:line="240" w:lineRule="auto"/>
        <w:ind w:left="360"/>
        <w:rPr>
          <w:rFonts w:asciiTheme="majorBidi" w:hAnsiTheme="majorBidi" w:cstheme="majorBidi"/>
          <w:b/>
          <w:bCs/>
          <w:lang w:bidi="ar-YE"/>
        </w:rPr>
      </w:pPr>
    </w:p>
    <w:p w:rsidR="0083304C" w:rsidRDefault="00574624" w:rsidP="0083304C">
      <w:pPr>
        <w:pStyle w:val="ListParagraph"/>
        <w:numPr>
          <w:ilvl w:val="0"/>
          <w:numId w:val="4"/>
        </w:numPr>
        <w:spacing w:after="0" w:line="240" w:lineRule="auto"/>
        <w:jc w:val="both"/>
        <w:rPr>
          <w:b/>
        </w:rPr>
      </w:pPr>
      <w:r>
        <w:rPr>
          <w:b/>
        </w:rPr>
        <w:lastRenderedPageBreak/>
        <w:t>Indicate any f</w:t>
      </w:r>
      <w:r w:rsidR="0083304C" w:rsidRPr="00574624">
        <w:rPr>
          <w:b/>
        </w:rPr>
        <w:t>unds obligated</w:t>
      </w:r>
      <w:r w:rsidR="00C00B67" w:rsidRPr="00574624">
        <w:rPr>
          <w:b/>
        </w:rPr>
        <w:t xml:space="preserve"> through a </w:t>
      </w:r>
      <w:r w:rsidR="00C00B67" w:rsidRPr="00574624">
        <w:rPr>
          <w:b/>
          <w:u w:val="single"/>
        </w:rPr>
        <w:t>signed contract</w:t>
      </w:r>
      <w:r w:rsidR="00C00B67" w:rsidRPr="00574624">
        <w:rPr>
          <w:b/>
        </w:rPr>
        <w:t xml:space="preserve"> from </w:t>
      </w:r>
      <w:r w:rsidR="0083304C" w:rsidRPr="00574624">
        <w:rPr>
          <w:b/>
        </w:rPr>
        <w:t>31 March 2015 to 10 April 2015</w:t>
      </w:r>
      <w:r>
        <w:rPr>
          <w:b/>
        </w:rPr>
        <w:t>, and append the contract to this template as an annex</w:t>
      </w:r>
      <w:r w:rsidR="0083304C" w:rsidRPr="00574624">
        <w:rPr>
          <w:b/>
        </w:rPr>
        <w:t>:</w:t>
      </w:r>
    </w:p>
    <w:p w:rsidR="00574624" w:rsidRPr="00574624" w:rsidRDefault="00574624" w:rsidP="00574624">
      <w:pPr>
        <w:pStyle w:val="ListParagraph"/>
        <w:spacing w:after="0" w:line="240" w:lineRule="auto"/>
        <w:jc w:val="both"/>
        <w:rPr>
          <w:b/>
        </w:rPr>
      </w:pPr>
    </w:p>
    <w:tbl>
      <w:tblPr>
        <w:tblStyle w:val="TableGrid"/>
        <w:tblW w:w="0" w:type="auto"/>
        <w:tblInd w:w="18" w:type="dxa"/>
        <w:tblLook w:val="04A0" w:firstRow="1" w:lastRow="0" w:firstColumn="1" w:lastColumn="0" w:noHBand="0" w:noVBand="1"/>
      </w:tblPr>
      <w:tblGrid>
        <w:gridCol w:w="1244"/>
        <w:gridCol w:w="3162"/>
        <w:gridCol w:w="2113"/>
        <w:gridCol w:w="2950"/>
      </w:tblGrid>
      <w:tr w:rsidR="0083304C" w:rsidRPr="0083304C" w:rsidTr="00444786">
        <w:tc>
          <w:tcPr>
            <w:tcW w:w="1260" w:type="dxa"/>
          </w:tcPr>
          <w:p w:rsidR="0083304C" w:rsidRPr="00444786" w:rsidRDefault="0083304C" w:rsidP="0083304C">
            <w:pPr>
              <w:jc w:val="right"/>
              <w:rPr>
                <w:lang w:val="en-GB"/>
              </w:rPr>
            </w:pPr>
            <w:r w:rsidRPr="00444786">
              <w:rPr>
                <w:rFonts w:eastAsiaTheme="minorEastAsia" w:cs="Arial"/>
                <w:lang w:val="en-GB" w:eastAsia="en-GB"/>
              </w:rPr>
              <w:t>Output #</w:t>
            </w:r>
          </w:p>
        </w:tc>
        <w:tc>
          <w:tcPr>
            <w:tcW w:w="3240" w:type="dxa"/>
          </w:tcPr>
          <w:p w:rsidR="0083304C" w:rsidRPr="00444786" w:rsidRDefault="0083304C" w:rsidP="0083304C">
            <w:pPr>
              <w:bidi w:val="0"/>
              <w:jc w:val="both"/>
              <w:rPr>
                <w:rFonts w:eastAsiaTheme="minorEastAsia" w:cs="Arial"/>
                <w:lang w:val="en-GB" w:eastAsia="en-GB"/>
              </w:rPr>
            </w:pPr>
            <w:r w:rsidRPr="00444786">
              <w:rPr>
                <w:rFonts w:eastAsiaTheme="minorEastAsia" w:cs="Arial"/>
                <w:lang w:val="en-GB" w:eastAsia="en-GB"/>
              </w:rPr>
              <w:t>Contracting agent name</w:t>
            </w:r>
          </w:p>
          <w:p w:rsidR="0083304C" w:rsidRPr="00444786" w:rsidRDefault="0083304C" w:rsidP="0083304C">
            <w:pPr>
              <w:jc w:val="right"/>
              <w:rPr>
                <w:lang w:val="en-GB"/>
              </w:rPr>
            </w:pPr>
            <w:r w:rsidRPr="00444786">
              <w:rPr>
                <w:rFonts w:eastAsiaTheme="minorEastAsia" w:cs="Arial"/>
                <w:lang w:val="en-GB" w:eastAsia="en-GB"/>
              </w:rPr>
              <w:t>(institutional or individual)</w:t>
            </w:r>
          </w:p>
        </w:tc>
        <w:tc>
          <w:tcPr>
            <w:tcW w:w="2160" w:type="dxa"/>
          </w:tcPr>
          <w:p w:rsidR="00095B11" w:rsidRPr="00444786" w:rsidRDefault="00095B11" w:rsidP="00095B11">
            <w:r>
              <w:t xml:space="preserve">Duration and Date of the Contract </w:t>
            </w:r>
          </w:p>
        </w:tc>
        <w:tc>
          <w:tcPr>
            <w:tcW w:w="3035" w:type="dxa"/>
          </w:tcPr>
          <w:p w:rsidR="0083304C" w:rsidRPr="00095B11" w:rsidRDefault="00095B11" w:rsidP="00095B11">
            <w:pPr>
              <w:jc w:val="right"/>
            </w:pPr>
            <w:r>
              <w:t>Contract Amount</w:t>
            </w:r>
          </w:p>
        </w:tc>
      </w:tr>
      <w:tr w:rsidR="0083304C" w:rsidTr="00444786">
        <w:tc>
          <w:tcPr>
            <w:tcW w:w="1260" w:type="dxa"/>
          </w:tcPr>
          <w:p w:rsidR="0083304C" w:rsidRPr="00444786" w:rsidRDefault="0083304C" w:rsidP="0083304C">
            <w:pPr>
              <w:rPr>
                <w:lang w:val="en-GB"/>
              </w:rPr>
            </w:pPr>
          </w:p>
        </w:tc>
        <w:tc>
          <w:tcPr>
            <w:tcW w:w="3240" w:type="dxa"/>
          </w:tcPr>
          <w:p w:rsidR="0083304C" w:rsidRPr="00444786" w:rsidRDefault="00474642" w:rsidP="0083304C">
            <w:pPr>
              <w:rPr>
                <w:lang w:val="en-GB"/>
              </w:rPr>
            </w:pPr>
            <w:r>
              <w:rPr>
                <w:lang w:val="en-GB"/>
              </w:rPr>
              <w:t>N/A</w:t>
            </w:r>
          </w:p>
        </w:tc>
        <w:tc>
          <w:tcPr>
            <w:tcW w:w="2160" w:type="dxa"/>
          </w:tcPr>
          <w:p w:rsidR="0083304C" w:rsidRPr="00444786" w:rsidRDefault="00474642" w:rsidP="0083304C">
            <w:pPr>
              <w:rPr>
                <w:lang w:val="en-GB"/>
              </w:rPr>
            </w:pPr>
            <w:r>
              <w:rPr>
                <w:lang w:val="en-GB"/>
              </w:rPr>
              <w:t>N/A</w:t>
            </w:r>
          </w:p>
        </w:tc>
        <w:tc>
          <w:tcPr>
            <w:tcW w:w="3035" w:type="dxa"/>
          </w:tcPr>
          <w:p w:rsidR="0083304C" w:rsidRPr="00444786" w:rsidRDefault="00474642" w:rsidP="0083304C">
            <w:pPr>
              <w:rPr>
                <w:lang w:val="en-GB"/>
              </w:rPr>
            </w:pPr>
            <w:r>
              <w:rPr>
                <w:lang w:val="en-GB"/>
              </w:rPr>
              <w:t>N/A</w:t>
            </w:r>
          </w:p>
        </w:tc>
      </w:tr>
      <w:tr w:rsidR="0083304C" w:rsidTr="00444786">
        <w:tc>
          <w:tcPr>
            <w:tcW w:w="1260" w:type="dxa"/>
          </w:tcPr>
          <w:p w:rsidR="0083304C" w:rsidRPr="00444786" w:rsidRDefault="0083304C" w:rsidP="0083304C">
            <w:pPr>
              <w:rPr>
                <w:lang w:val="en-GB"/>
              </w:rPr>
            </w:pPr>
          </w:p>
        </w:tc>
        <w:tc>
          <w:tcPr>
            <w:tcW w:w="3240" w:type="dxa"/>
          </w:tcPr>
          <w:p w:rsidR="0083304C" w:rsidRPr="00444786" w:rsidRDefault="00474642" w:rsidP="0083304C">
            <w:pPr>
              <w:rPr>
                <w:lang w:val="en-GB"/>
              </w:rPr>
            </w:pPr>
            <w:r>
              <w:rPr>
                <w:lang w:val="en-GB"/>
              </w:rPr>
              <w:t>N/A</w:t>
            </w:r>
          </w:p>
        </w:tc>
        <w:tc>
          <w:tcPr>
            <w:tcW w:w="2160" w:type="dxa"/>
          </w:tcPr>
          <w:p w:rsidR="0083304C" w:rsidRPr="00444786" w:rsidRDefault="00474642" w:rsidP="0083304C">
            <w:pPr>
              <w:rPr>
                <w:lang w:val="en-GB"/>
              </w:rPr>
            </w:pPr>
            <w:r>
              <w:rPr>
                <w:lang w:val="en-GB"/>
              </w:rPr>
              <w:t>N/A</w:t>
            </w:r>
          </w:p>
        </w:tc>
        <w:tc>
          <w:tcPr>
            <w:tcW w:w="3035" w:type="dxa"/>
          </w:tcPr>
          <w:p w:rsidR="0083304C" w:rsidRPr="00444786" w:rsidRDefault="00474642" w:rsidP="0083304C">
            <w:pPr>
              <w:rPr>
                <w:lang w:val="en-GB"/>
              </w:rPr>
            </w:pPr>
            <w:r>
              <w:rPr>
                <w:lang w:val="en-GB"/>
              </w:rPr>
              <w:t>N/A</w:t>
            </w:r>
          </w:p>
        </w:tc>
      </w:tr>
    </w:tbl>
    <w:p w:rsidR="008241F3" w:rsidRPr="00937EBB" w:rsidRDefault="008241F3" w:rsidP="005F5F7D">
      <w:pPr>
        <w:bidi w:val="0"/>
        <w:spacing w:after="0" w:line="240" w:lineRule="auto"/>
        <w:rPr>
          <w:rFonts w:asciiTheme="majorBidi" w:hAnsiTheme="majorBidi" w:cstheme="majorBidi"/>
          <w:b/>
          <w:bCs/>
          <w:lang w:bidi="ar-YE"/>
        </w:rPr>
      </w:pPr>
    </w:p>
    <w:p w:rsidR="008241F3" w:rsidRDefault="008241F3" w:rsidP="005F5F7D">
      <w:pPr>
        <w:bidi w:val="0"/>
        <w:spacing w:after="0" w:line="240" w:lineRule="auto"/>
        <w:rPr>
          <w:rFonts w:asciiTheme="majorBidi" w:hAnsiTheme="majorBidi" w:cstheme="majorBidi"/>
          <w:b/>
          <w:bCs/>
          <w:lang w:bidi="ar-YE"/>
        </w:rPr>
      </w:pPr>
    </w:p>
    <w:p w:rsidR="008A1BFA" w:rsidRDefault="008A1BFA" w:rsidP="008A1BFA">
      <w:pPr>
        <w:bidi w:val="0"/>
        <w:spacing w:after="0" w:line="240" w:lineRule="auto"/>
        <w:rPr>
          <w:rFonts w:asciiTheme="majorBidi" w:hAnsiTheme="majorBidi" w:cstheme="majorBidi"/>
          <w:b/>
          <w:bCs/>
          <w:lang w:bidi="ar-YE"/>
        </w:rPr>
      </w:pPr>
    </w:p>
    <w:p w:rsidR="008A1BFA" w:rsidRDefault="008A1BFA" w:rsidP="008A1BFA">
      <w:pPr>
        <w:bidi w:val="0"/>
        <w:spacing w:after="0" w:line="240" w:lineRule="auto"/>
        <w:rPr>
          <w:rFonts w:asciiTheme="majorBidi" w:hAnsiTheme="majorBidi" w:cstheme="majorBidi"/>
          <w:b/>
          <w:bCs/>
          <w:lang w:bidi="ar-YE"/>
        </w:rPr>
      </w:pPr>
    </w:p>
    <w:p w:rsidR="009809C0" w:rsidRPr="00937EBB" w:rsidRDefault="009809C0" w:rsidP="009809C0">
      <w:pPr>
        <w:bidi w:val="0"/>
        <w:spacing w:after="0" w:line="240" w:lineRule="auto"/>
        <w:rPr>
          <w:rFonts w:asciiTheme="majorBidi" w:hAnsiTheme="majorBidi" w:cstheme="majorBidi"/>
          <w:b/>
          <w:bCs/>
          <w:lang w:bidi="ar-YE"/>
        </w:rPr>
      </w:pPr>
    </w:p>
    <w:p w:rsidR="002832EE" w:rsidRPr="00C00B67" w:rsidRDefault="002832EE" w:rsidP="00C00B67">
      <w:pPr>
        <w:pStyle w:val="ListParagraph"/>
        <w:numPr>
          <w:ilvl w:val="0"/>
          <w:numId w:val="4"/>
        </w:numPr>
        <w:spacing w:after="0" w:line="240" w:lineRule="auto"/>
        <w:rPr>
          <w:b/>
          <w:bCs/>
        </w:rPr>
      </w:pPr>
      <w:r w:rsidRPr="00C00B67">
        <w:rPr>
          <w:b/>
          <w:bCs/>
          <w:lang w:bidi="ar-YE"/>
        </w:rPr>
        <w:t xml:space="preserve">Based on the </w:t>
      </w:r>
      <w:r w:rsidR="00ED5ED2">
        <w:rPr>
          <w:b/>
          <w:bCs/>
          <w:lang w:bidi="ar-YE"/>
        </w:rPr>
        <w:t xml:space="preserve">project’s </w:t>
      </w:r>
      <w:r w:rsidRPr="00C00B67">
        <w:rPr>
          <w:b/>
          <w:bCs/>
          <w:lang w:bidi="ar-YE"/>
        </w:rPr>
        <w:t xml:space="preserve"> </w:t>
      </w:r>
      <w:r w:rsidR="0083304C">
        <w:rPr>
          <w:b/>
          <w:bCs/>
          <w:lang w:bidi="ar-YE"/>
        </w:rPr>
        <w:t xml:space="preserve">total </w:t>
      </w:r>
      <w:r w:rsidR="00C00B67">
        <w:rPr>
          <w:b/>
          <w:bCs/>
          <w:lang w:bidi="ar-YE"/>
        </w:rPr>
        <w:t>contractual commitments</w:t>
      </w:r>
      <w:r w:rsidR="00ED5ED2">
        <w:rPr>
          <w:b/>
          <w:bCs/>
          <w:lang w:bidi="ar-YE"/>
        </w:rPr>
        <w:t xml:space="preserve"> as of 10 April 2015, please indicate recurrent cost amounts and duration:</w:t>
      </w:r>
    </w:p>
    <w:p w:rsidR="006812BA" w:rsidRPr="00937EBB" w:rsidRDefault="006812BA" w:rsidP="005A34A1">
      <w:pPr>
        <w:bidi w:val="0"/>
        <w:spacing w:after="0" w:line="240" w:lineRule="auto"/>
        <w:jc w:val="both"/>
        <w:rPr>
          <w:rFonts w:eastAsiaTheme="minorEastAsia"/>
          <w:lang w:eastAsia="en-GB"/>
        </w:rPr>
      </w:pPr>
    </w:p>
    <w:p w:rsidR="00F80856" w:rsidRPr="006F747F" w:rsidRDefault="00420D5D" w:rsidP="00D16506">
      <w:pPr>
        <w:bidi w:val="0"/>
        <w:spacing w:after="0" w:line="240" w:lineRule="auto"/>
        <w:jc w:val="both"/>
        <w:rPr>
          <w:rFonts w:eastAsiaTheme="minorEastAsia" w:cs="Arial"/>
          <w:lang w:eastAsia="en-GB"/>
        </w:rPr>
      </w:pPr>
      <w:r w:rsidRPr="007748C2">
        <w:rPr>
          <w:rFonts w:eastAsiaTheme="minorEastAsia" w:cs="Arial"/>
          <w:b/>
          <w:bCs/>
          <w:lang w:eastAsia="en-GB"/>
        </w:rPr>
        <w:t>NOTE</w:t>
      </w:r>
      <w:r>
        <w:rPr>
          <w:rFonts w:eastAsiaTheme="minorEastAsia" w:cs="Arial"/>
          <w:lang w:eastAsia="en-GB"/>
        </w:rPr>
        <w:t xml:space="preserve">: </w:t>
      </w:r>
      <w:r w:rsidR="00F80856">
        <w:rPr>
          <w:rFonts w:eastAsiaTheme="minorEastAsia" w:cs="Arial"/>
          <w:lang w:eastAsia="en-GB"/>
        </w:rPr>
        <w:t xml:space="preserve">Based on the project proposal, $ 100,000 have been approved for staff salaries. The project has 5 staff. They </w:t>
      </w:r>
      <w:r w:rsidR="006F747F">
        <w:rPr>
          <w:rFonts w:eastAsiaTheme="minorEastAsia" w:cs="Arial"/>
          <w:lang w:eastAsia="en-GB"/>
        </w:rPr>
        <w:t xml:space="preserve">all have valid contracts. Based on the UNDP senior management’s decision, after Decisive Storm operation started (bombardment of </w:t>
      </w:r>
      <w:r w:rsidR="00D16506">
        <w:rPr>
          <w:rFonts w:eastAsiaTheme="minorEastAsia" w:cs="Arial"/>
          <w:lang w:eastAsia="en-GB"/>
        </w:rPr>
        <w:t xml:space="preserve">the Saudi-led coalition) </w:t>
      </w:r>
      <w:r w:rsidR="006F747F">
        <w:rPr>
          <w:rFonts w:eastAsiaTheme="minorEastAsia" w:cs="Arial"/>
          <w:lang w:eastAsia="en-GB"/>
        </w:rPr>
        <w:t>local staff received three months</w:t>
      </w:r>
      <w:r w:rsidR="00D16506">
        <w:rPr>
          <w:rFonts w:eastAsiaTheme="minorEastAsia" w:cs="Arial"/>
          <w:lang w:eastAsia="en-GB"/>
        </w:rPr>
        <w:t xml:space="preserve"> (salaries for April, May and June).</w:t>
      </w:r>
      <w:r w:rsidR="006F747F">
        <w:rPr>
          <w:rFonts w:eastAsiaTheme="minorEastAsia" w:cs="Arial"/>
          <w:lang w:eastAsia="en-GB"/>
        </w:rPr>
        <w:t xml:space="preserve">   </w:t>
      </w:r>
    </w:p>
    <w:p w:rsidR="00F80856" w:rsidRPr="00937EBB" w:rsidRDefault="00F80856" w:rsidP="00F80856">
      <w:pPr>
        <w:bidi w:val="0"/>
        <w:spacing w:after="0" w:line="240" w:lineRule="auto"/>
        <w:jc w:val="both"/>
        <w:rPr>
          <w:rFonts w:eastAsiaTheme="minorEastAsia" w:cs="Arial"/>
          <w:lang w:eastAsia="en-GB"/>
        </w:rPr>
      </w:pPr>
    </w:p>
    <w:tbl>
      <w:tblPr>
        <w:tblStyle w:val="TableGrid"/>
        <w:tblW w:w="0" w:type="auto"/>
        <w:tblInd w:w="-5" w:type="dxa"/>
        <w:tblLook w:val="04A0" w:firstRow="1" w:lastRow="0" w:firstColumn="1" w:lastColumn="0" w:noHBand="0" w:noVBand="1"/>
      </w:tblPr>
      <w:tblGrid>
        <w:gridCol w:w="1181"/>
        <w:gridCol w:w="2869"/>
        <w:gridCol w:w="1531"/>
        <w:gridCol w:w="1549"/>
        <w:gridCol w:w="1425"/>
      </w:tblGrid>
      <w:tr w:rsidR="002A2660" w:rsidTr="002A2660">
        <w:tc>
          <w:tcPr>
            <w:tcW w:w="1181" w:type="dxa"/>
          </w:tcPr>
          <w:p w:rsidR="002A2660" w:rsidRDefault="002A2660" w:rsidP="00162593">
            <w:pPr>
              <w:bidi w:val="0"/>
              <w:jc w:val="both"/>
              <w:rPr>
                <w:rFonts w:eastAsiaTheme="minorEastAsia" w:cs="Arial"/>
                <w:lang w:eastAsia="en-GB"/>
              </w:rPr>
            </w:pPr>
            <w:r>
              <w:rPr>
                <w:rFonts w:eastAsiaTheme="minorEastAsia" w:cs="Arial"/>
                <w:lang w:eastAsia="en-GB"/>
              </w:rPr>
              <w:t>Output #</w:t>
            </w:r>
          </w:p>
        </w:tc>
        <w:tc>
          <w:tcPr>
            <w:tcW w:w="2869" w:type="dxa"/>
          </w:tcPr>
          <w:p w:rsidR="002A2660" w:rsidRDefault="002A2660" w:rsidP="00162593">
            <w:pPr>
              <w:bidi w:val="0"/>
              <w:jc w:val="both"/>
              <w:rPr>
                <w:rFonts w:eastAsiaTheme="minorEastAsia" w:cs="Arial"/>
                <w:lang w:eastAsia="en-GB"/>
              </w:rPr>
            </w:pPr>
            <w:r>
              <w:rPr>
                <w:rFonts w:eastAsiaTheme="minorEastAsia" w:cs="Arial"/>
                <w:lang w:eastAsia="en-GB"/>
              </w:rPr>
              <w:t>Contracting agent name</w:t>
            </w:r>
          </w:p>
          <w:p w:rsidR="002A2660" w:rsidRDefault="002A2660" w:rsidP="00ED5ED2">
            <w:pPr>
              <w:bidi w:val="0"/>
              <w:jc w:val="both"/>
              <w:rPr>
                <w:rFonts w:eastAsiaTheme="minorEastAsia" w:cs="Arial"/>
                <w:lang w:eastAsia="en-GB"/>
              </w:rPr>
            </w:pPr>
            <w:r>
              <w:rPr>
                <w:rFonts w:eastAsiaTheme="minorEastAsia" w:cs="Arial"/>
                <w:lang w:eastAsia="en-GB"/>
              </w:rPr>
              <w:t xml:space="preserve">(institutional or individual) </w:t>
            </w:r>
          </w:p>
          <w:p w:rsidR="00420D5D" w:rsidRDefault="00420D5D" w:rsidP="00420D5D">
            <w:pPr>
              <w:bidi w:val="0"/>
              <w:jc w:val="both"/>
              <w:rPr>
                <w:rFonts w:eastAsiaTheme="minorEastAsia" w:cs="Arial"/>
                <w:lang w:eastAsia="en-GB"/>
              </w:rPr>
            </w:pPr>
          </w:p>
          <w:p w:rsidR="00420D5D" w:rsidRDefault="00420D5D" w:rsidP="00420D5D">
            <w:pPr>
              <w:bidi w:val="0"/>
              <w:jc w:val="both"/>
              <w:rPr>
                <w:rFonts w:eastAsiaTheme="minorEastAsia" w:cs="Arial"/>
                <w:lang w:eastAsia="en-GB"/>
              </w:rPr>
            </w:pPr>
            <w:r>
              <w:rPr>
                <w:rFonts w:eastAsiaTheme="minorEastAsia" w:cs="Arial"/>
                <w:lang w:eastAsia="en-GB"/>
              </w:rPr>
              <w:t xml:space="preserve">UNDP </w:t>
            </w:r>
            <w:r w:rsidR="007748C2">
              <w:rPr>
                <w:rFonts w:eastAsiaTheme="minorEastAsia" w:cs="Arial"/>
                <w:lang w:eastAsia="en-GB"/>
              </w:rPr>
              <w:t xml:space="preserve">TJ </w:t>
            </w:r>
            <w:r>
              <w:rPr>
                <w:rFonts w:eastAsiaTheme="minorEastAsia" w:cs="Arial"/>
                <w:lang w:eastAsia="en-GB"/>
              </w:rPr>
              <w:t xml:space="preserve">project’s staff </w:t>
            </w:r>
          </w:p>
        </w:tc>
        <w:tc>
          <w:tcPr>
            <w:tcW w:w="1531" w:type="dxa"/>
          </w:tcPr>
          <w:p w:rsidR="002A2660" w:rsidRDefault="002A2660" w:rsidP="00162593">
            <w:pPr>
              <w:bidi w:val="0"/>
              <w:jc w:val="both"/>
              <w:rPr>
                <w:rFonts w:eastAsiaTheme="minorEastAsia" w:cs="Arial"/>
                <w:lang w:eastAsia="en-GB"/>
              </w:rPr>
            </w:pPr>
            <w:r>
              <w:rPr>
                <w:rFonts w:eastAsiaTheme="minorEastAsia" w:cs="Arial"/>
                <w:lang w:eastAsia="en-GB"/>
              </w:rPr>
              <w:t>Duration</w:t>
            </w:r>
          </w:p>
        </w:tc>
        <w:tc>
          <w:tcPr>
            <w:tcW w:w="1549" w:type="dxa"/>
          </w:tcPr>
          <w:p w:rsidR="002A2660" w:rsidRDefault="002A2660" w:rsidP="00D16506">
            <w:pPr>
              <w:bidi w:val="0"/>
              <w:jc w:val="both"/>
              <w:rPr>
                <w:rFonts w:eastAsiaTheme="minorEastAsia" w:cs="Arial"/>
                <w:lang w:eastAsia="en-GB"/>
              </w:rPr>
            </w:pPr>
            <w:r>
              <w:rPr>
                <w:rFonts w:eastAsiaTheme="minorEastAsia" w:cs="Arial"/>
                <w:lang w:eastAsia="en-GB"/>
              </w:rPr>
              <w:t>$ Total (paid salaries – March, April, May, June 2014)</w:t>
            </w:r>
          </w:p>
        </w:tc>
        <w:tc>
          <w:tcPr>
            <w:tcW w:w="1425" w:type="dxa"/>
          </w:tcPr>
          <w:p w:rsidR="002A2660" w:rsidRDefault="002A2660" w:rsidP="002A2660">
            <w:pPr>
              <w:bidi w:val="0"/>
              <w:jc w:val="both"/>
              <w:rPr>
                <w:rFonts w:eastAsiaTheme="minorEastAsia" w:cs="Arial"/>
                <w:lang w:eastAsia="en-GB"/>
              </w:rPr>
            </w:pPr>
            <w:r>
              <w:rPr>
                <w:rFonts w:eastAsiaTheme="minorEastAsia" w:cs="Arial"/>
                <w:lang w:eastAsia="en-GB"/>
              </w:rPr>
              <w:t>Contract amount</w:t>
            </w:r>
          </w:p>
          <w:p w:rsidR="002A2660" w:rsidRDefault="002A2660" w:rsidP="002A2660">
            <w:pPr>
              <w:bidi w:val="0"/>
              <w:jc w:val="both"/>
              <w:rPr>
                <w:rFonts w:eastAsiaTheme="minorEastAsia" w:cs="Arial"/>
                <w:lang w:eastAsia="en-GB"/>
              </w:rPr>
            </w:pPr>
            <w:r>
              <w:rPr>
                <w:rFonts w:eastAsiaTheme="minorEastAsia" w:cs="Arial"/>
                <w:lang w:eastAsia="en-GB"/>
              </w:rPr>
              <w:t>(annual salary)</w:t>
            </w:r>
          </w:p>
        </w:tc>
      </w:tr>
      <w:tr w:rsidR="002A2660" w:rsidTr="002A2660">
        <w:tc>
          <w:tcPr>
            <w:tcW w:w="1181" w:type="dxa"/>
          </w:tcPr>
          <w:p w:rsidR="002A2660" w:rsidRDefault="002A2660" w:rsidP="002A2660">
            <w:pPr>
              <w:bidi w:val="0"/>
              <w:jc w:val="both"/>
              <w:rPr>
                <w:rFonts w:eastAsiaTheme="minorEastAsia" w:cs="Arial"/>
                <w:lang w:eastAsia="en-GB"/>
              </w:rPr>
            </w:pPr>
          </w:p>
        </w:tc>
        <w:tc>
          <w:tcPr>
            <w:tcW w:w="2869" w:type="dxa"/>
          </w:tcPr>
          <w:p w:rsidR="002A2660" w:rsidRDefault="002A2660" w:rsidP="00420D5D">
            <w:pPr>
              <w:bidi w:val="0"/>
              <w:jc w:val="both"/>
              <w:rPr>
                <w:rFonts w:eastAsiaTheme="minorEastAsia" w:cs="Arial"/>
                <w:lang w:eastAsia="en-GB"/>
              </w:rPr>
            </w:pPr>
            <w:r>
              <w:rPr>
                <w:rFonts w:eastAsiaTheme="minorEastAsia" w:cs="Arial"/>
                <w:lang w:eastAsia="en-GB"/>
              </w:rPr>
              <w:t>Khaled Al-Sharabi – National Project Coordinator</w:t>
            </w:r>
            <w:r w:rsidR="007748C2">
              <w:rPr>
                <w:rFonts w:eastAsiaTheme="minorEastAsia" w:cs="Arial"/>
                <w:lang w:eastAsia="en-GB"/>
              </w:rPr>
              <w:t xml:space="preserve"> (local)</w:t>
            </w:r>
          </w:p>
        </w:tc>
        <w:tc>
          <w:tcPr>
            <w:tcW w:w="1531" w:type="dxa"/>
          </w:tcPr>
          <w:p w:rsidR="002A2660" w:rsidRDefault="002A2660" w:rsidP="00420D5D">
            <w:pPr>
              <w:bidi w:val="0"/>
              <w:jc w:val="both"/>
              <w:rPr>
                <w:rFonts w:eastAsiaTheme="minorEastAsia" w:cs="Arial"/>
                <w:lang w:eastAsia="en-GB"/>
              </w:rPr>
            </w:pPr>
            <w:r>
              <w:rPr>
                <w:rFonts w:eastAsiaTheme="minorEastAsia" w:cs="Arial"/>
                <w:lang w:eastAsia="en-GB"/>
              </w:rPr>
              <w:t>6</w:t>
            </w:r>
            <w:r w:rsidRPr="006F747F">
              <w:rPr>
                <w:rFonts w:eastAsiaTheme="minorEastAsia" w:cs="Arial"/>
                <w:vertAlign w:val="superscript"/>
                <w:lang w:eastAsia="en-GB"/>
              </w:rPr>
              <w:t>th</w:t>
            </w:r>
            <w:r>
              <w:rPr>
                <w:rFonts w:eastAsiaTheme="minorEastAsia" w:cs="Arial"/>
                <w:lang w:eastAsia="en-GB"/>
              </w:rPr>
              <w:t xml:space="preserve"> April 2013 – 5</w:t>
            </w:r>
            <w:r w:rsidRPr="006F747F">
              <w:rPr>
                <w:rFonts w:eastAsiaTheme="minorEastAsia" w:cs="Arial"/>
                <w:vertAlign w:val="superscript"/>
                <w:lang w:eastAsia="en-GB"/>
              </w:rPr>
              <w:t>th</w:t>
            </w:r>
            <w:r>
              <w:rPr>
                <w:rFonts w:eastAsiaTheme="minorEastAsia" w:cs="Arial"/>
                <w:lang w:eastAsia="en-GB"/>
              </w:rPr>
              <w:t xml:space="preserve"> April 2016</w:t>
            </w:r>
          </w:p>
        </w:tc>
        <w:tc>
          <w:tcPr>
            <w:tcW w:w="1549" w:type="dxa"/>
          </w:tcPr>
          <w:p w:rsidR="002A2660" w:rsidRDefault="002A2660" w:rsidP="002A2660">
            <w:pPr>
              <w:bidi w:val="0"/>
              <w:jc w:val="both"/>
              <w:rPr>
                <w:rFonts w:eastAsiaTheme="minorEastAsia" w:cs="Arial"/>
                <w:lang w:eastAsia="en-GB"/>
              </w:rPr>
            </w:pPr>
            <w:r>
              <w:rPr>
                <w:rFonts w:eastAsiaTheme="minorEastAsia" w:cs="Arial"/>
                <w:lang w:eastAsia="en-GB"/>
              </w:rPr>
              <w:t>$ 14,364</w:t>
            </w:r>
          </w:p>
        </w:tc>
        <w:tc>
          <w:tcPr>
            <w:tcW w:w="1425" w:type="dxa"/>
          </w:tcPr>
          <w:p w:rsidR="002A2660" w:rsidRDefault="002A2660" w:rsidP="002A2660">
            <w:pPr>
              <w:bidi w:val="0"/>
              <w:jc w:val="both"/>
              <w:rPr>
                <w:rFonts w:eastAsiaTheme="minorEastAsia" w:cs="Arial"/>
                <w:lang w:eastAsia="en-GB"/>
              </w:rPr>
            </w:pPr>
            <w:r>
              <w:rPr>
                <w:rFonts w:eastAsiaTheme="minorEastAsia" w:cs="Arial"/>
                <w:lang w:eastAsia="en-GB"/>
              </w:rPr>
              <w:t>$ 43,012</w:t>
            </w:r>
          </w:p>
        </w:tc>
      </w:tr>
      <w:tr w:rsidR="002A2660" w:rsidTr="002A2660">
        <w:tc>
          <w:tcPr>
            <w:tcW w:w="1181" w:type="dxa"/>
          </w:tcPr>
          <w:p w:rsidR="002A2660" w:rsidRDefault="002A2660" w:rsidP="002A2660">
            <w:pPr>
              <w:bidi w:val="0"/>
              <w:jc w:val="both"/>
              <w:rPr>
                <w:rFonts w:eastAsiaTheme="minorEastAsia" w:cs="Arial"/>
                <w:lang w:eastAsia="en-GB"/>
              </w:rPr>
            </w:pPr>
          </w:p>
        </w:tc>
        <w:tc>
          <w:tcPr>
            <w:tcW w:w="2869" w:type="dxa"/>
          </w:tcPr>
          <w:p w:rsidR="002A2660" w:rsidRDefault="002A2660" w:rsidP="002A2660">
            <w:pPr>
              <w:bidi w:val="0"/>
              <w:jc w:val="both"/>
              <w:rPr>
                <w:rFonts w:eastAsiaTheme="minorEastAsia" w:cs="Arial"/>
                <w:lang w:eastAsia="en-GB"/>
              </w:rPr>
            </w:pPr>
            <w:r>
              <w:rPr>
                <w:rFonts w:eastAsiaTheme="minorEastAsia" w:cs="Arial"/>
                <w:lang w:eastAsia="en-GB"/>
              </w:rPr>
              <w:t>Mohammed Al-Shakaa – Project/Finance Assistant</w:t>
            </w:r>
            <w:r w:rsidR="007748C2">
              <w:rPr>
                <w:rFonts w:eastAsiaTheme="minorEastAsia" w:cs="Arial"/>
                <w:lang w:eastAsia="en-GB"/>
              </w:rPr>
              <w:t xml:space="preserve"> (local)</w:t>
            </w:r>
          </w:p>
        </w:tc>
        <w:tc>
          <w:tcPr>
            <w:tcW w:w="1531" w:type="dxa"/>
          </w:tcPr>
          <w:p w:rsidR="002A2660" w:rsidRDefault="002A2660" w:rsidP="002A2660">
            <w:pPr>
              <w:bidi w:val="0"/>
              <w:jc w:val="both"/>
              <w:rPr>
                <w:rFonts w:eastAsiaTheme="minorEastAsia" w:cs="Arial"/>
                <w:lang w:eastAsia="en-GB"/>
              </w:rPr>
            </w:pPr>
            <w:r>
              <w:rPr>
                <w:rFonts w:eastAsiaTheme="minorEastAsia" w:cs="Arial"/>
                <w:lang w:eastAsia="en-GB"/>
              </w:rPr>
              <w:t>6</w:t>
            </w:r>
            <w:r w:rsidRPr="006F747F">
              <w:rPr>
                <w:rFonts w:eastAsiaTheme="minorEastAsia" w:cs="Arial"/>
                <w:vertAlign w:val="superscript"/>
                <w:lang w:eastAsia="en-GB"/>
              </w:rPr>
              <w:t>th</w:t>
            </w:r>
            <w:r>
              <w:rPr>
                <w:rFonts w:eastAsiaTheme="minorEastAsia" w:cs="Arial"/>
                <w:lang w:eastAsia="en-GB"/>
              </w:rPr>
              <w:t xml:space="preserve"> May 2013 – 31</w:t>
            </w:r>
            <w:r w:rsidRPr="006F747F">
              <w:rPr>
                <w:rFonts w:eastAsiaTheme="minorEastAsia" w:cs="Arial"/>
                <w:vertAlign w:val="superscript"/>
                <w:lang w:eastAsia="en-GB"/>
              </w:rPr>
              <w:t>st</w:t>
            </w:r>
            <w:r>
              <w:rPr>
                <w:rFonts w:eastAsiaTheme="minorEastAsia" w:cs="Arial"/>
                <w:lang w:eastAsia="en-GB"/>
              </w:rPr>
              <w:t xml:space="preserve"> December 2015</w:t>
            </w:r>
          </w:p>
        </w:tc>
        <w:tc>
          <w:tcPr>
            <w:tcW w:w="1549" w:type="dxa"/>
          </w:tcPr>
          <w:p w:rsidR="002A2660" w:rsidRDefault="002A2660" w:rsidP="002A2660">
            <w:pPr>
              <w:bidi w:val="0"/>
              <w:jc w:val="both"/>
              <w:rPr>
                <w:rFonts w:eastAsiaTheme="minorEastAsia" w:cs="Arial"/>
                <w:lang w:eastAsia="en-GB"/>
              </w:rPr>
            </w:pPr>
            <w:r>
              <w:rPr>
                <w:rFonts w:eastAsiaTheme="minorEastAsia" w:cs="Arial"/>
                <w:lang w:eastAsia="en-GB"/>
              </w:rPr>
              <w:t>$ 10,464</w:t>
            </w:r>
          </w:p>
        </w:tc>
        <w:tc>
          <w:tcPr>
            <w:tcW w:w="1425" w:type="dxa"/>
          </w:tcPr>
          <w:p w:rsidR="002A2660" w:rsidRDefault="002A2660" w:rsidP="002A2660">
            <w:pPr>
              <w:bidi w:val="0"/>
              <w:jc w:val="both"/>
              <w:rPr>
                <w:rFonts w:eastAsiaTheme="minorEastAsia" w:cs="Arial"/>
                <w:lang w:eastAsia="en-GB"/>
              </w:rPr>
            </w:pPr>
            <w:r>
              <w:rPr>
                <w:rFonts w:eastAsiaTheme="minorEastAsia" w:cs="Arial"/>
                <w:lang w:eastAsia="en-GB"/>
              </w:rPr>
              <w:t>$ 31,392</w:t>
            </w:r>
          </w:p>
        </w:tc>
      </w:tr>
      <w:tr w:rsidR="002A2660" w:rsidTr="002A2660">
        <w:tc>
          <w:tcPr>
            <w:tcW w:w="1181" w:type="dxa"/>
          </w:tcPr>
          <w:p w:rsidR="002A2660" w:rsidRDefault="002A2660" w:rsidP="002A2660">
            <w:pPr>
              <w:bidi w:val="0"/>
              <w:jc w:val="both"/>
              <w:rPr>
                <w:rFonts w:eastAsiaTheme="minorEastAsia" w:cs="Arial"/>
                <w:lang w:eastAsia="en-GB"/>
              </w:rPr>
            </w:pPr>
          </w:p>
        </w:tc>
        <w:tc>
          <w:tcPr>
            <w:tcW w:w="2869" w:type="dxa"/>
          </w:tcPr>
          <w:p w:rsidR="002A2660" w:rsidRDefault="002A2660" w:rsidP="00420D5D">
            <w:pPr>
              <w:bidi w:val="0"/>
              <w:jc w:val="both"/>
              <w:rPr>
                <w:rFonts w:eastAsiaTheme="minorEastAsia" w:cs="Arial"/>
                <w:lang w:eastAsia="en-GB"/>
              </w:rPr>
            </w:pPr>
            <w:r>
              <w:rPr>
                <w:rFonts w:eastAsiaTheme="minorEastAsia" w:cs="Arial"/>
                <w:lang w:eastAsia="en-GB"/>
              </w:rPr>
              <w:t>Najwa Al-Romaim – OHCHR Programme Office</w:t>
            </w:r>
            <w:r w:rsidR="00420D5D">
              <w:rPr>
                <w:rFonts w:eastAsiaTheme="minorEastAsia" w:cs="Arial"/>
                <w:lang w:eastAsia="en-GB"/>
              </w:rPr>
              <w:t>r</w:t>
            </w:r>
            <w:r w:rsidR="007748C2">
              <w:rPr>
                <w:rFonts w:eastAsiaTheme="minorEastAsia" w:cs="Arial"/>
                <w:lang w:eastAsia="en-GB"/>
              </w:rPr>
              <w:t xml:space="preserve"> (local)</w:t>
            </w:r>
          </w:p>
        </w:tc>
        <w:tc>
          <w:tcPr>
            <w:tcW w:w="1531" w:type="dxa"/>
          </w:tcPr>
          <w:p w:rsidR="002A2660" w:rsidRDefault="002A2660" w:rsidP="002A2660">
            <w:pPr>
              <w:bidi w:val="0"/>
              <w:jc w:val="both"/>
              <w:rPr>
                <w:rFonts w:eastAsiaTheme="minorEastAsia" w:cs="Arial"/>
                <w:lang w:eastAsia="en-GB"/>
              </w:rPr>
            </w:pPr>
            <w:r>
              <w:rPr>
                <w:rFonts w:eastAsiaTheme="minorEastAsia" w:cs="Arial"/>
                <w:lang w:eastAsia="en-GB"/>
              </w:rPr>
              <w:t>21</w:t>
            </w:r>
            <w:r w:rsidRPr="00F80856">
              <w:rPr>
                <w:rFonts w:eastAsiaTheme="minorEastAsia" w:cs="Arial"/>
                <w:vertAlign w:val="superscript"/>
                <w:lang w:eastAsia="en-GB"/>
              </w:rPr>
              <w:t>st</w:t>
            </w:r>
            <w:r>
              <w:rPr>
                <w:rFonts w:eastAsiaTheme="minorEastAsia" w:cs="Arial"/>
                <w:lang w:eastAsia="en-GB"/>
              </w:rPr>
              <w:t xml:space="preserve"> June 2014 – 31</w:t>
            </w:r>
            <w:r w:rsidRPr="00F80856">
              <w:rPr>
                <w:rFonts w:eastAsiaTheme="minorEastAsia" w:cs="Arial"/>
                <w:vertAlign w:val="superscript"/>
                <w:lang w:eastAsia="en-GB"/>
              </w:rPr>
              <w:t>st</w:t>
            </w:r>
            <w:r>
              <w:rPr>
                <w:rFonts w:eastAsiaTheme="minorEastAsia" w:cs="Arial"/>
                <w:lang w:eastAsia="en-GB"/>
              </w:rPr>
              <w:t xml:space="preserve"> December 2015</w:t>
            </w:r>
          </w:p>
        </w:tc>
        <w:tc>
          <w:tcPr>
            <w:tcW w:w="1549" w:type="dxa"/>
          </w:tcPr>
          <w:p w:rsidR="002A2660" w:rsidRDefault="002A2660" w:rsidP="002A2660">
            <w:pPr>
              <w:bidi w:val="0"/>
              <w:jc w:val="both"/>
              <w:rPr>
                <w:rFonts w:eastAsiaTheme="minorEastAsia" w:cs="Arial"/>
                <w:lang w:eastAsia="en-GB"/>
              </w:rPr>
            </w:pPr>
            <w:r>
              <w:rPr>
                <w:rFonts w:eastAsiaTheme="minorEastAsia" w:cs="Arial"/>
                <w:lang w:eastAsia="en-GB"/>
              </w:rPr>
              <w:t>$ 5,400</w:t>
            </w:r>
          </w:p>
        </w:tc>
        <w:tc>
          <w:tcPr>
            <w:tcW w:w="1425" w:type="dxa"/>
          </w:tcPr>
          <w:p w:rsidR="002A2660" w:rsidRDefault="002A2660" w:rsidP="002A2660">
            <w:pPr>
              <w:bidi w:val="0"/>
              <w:jc w:val="both"/>
              <w:rPr>
                <w:rFonts w:eastAsiaTheme="minorEastAsia" w:cs="Arial"/>
                <w:lang w:eastAsia="en-GB"/>
              </w:rPr>
            </w:pPr>
            <w:r>
              <w:rPr>
                <w:rFonts w:eastAsiaTheme="minorEastAsia" w:cs="Arial"/>
                <w:lang w:eastAsia="en-GB"/>
              </w:rPr>
              <w:t>$ 16,200</w:t>
            </w:r>
          </w:p>
        </w:tc>
      </w:tr>
      <w:tr w:rsidR="002A2660" w:rsidTr="002A2660">
        <w:tc>
          <w:tcPr>
            <w:tcW w:w="1181" w:type="dxa"/>
          </w:tcPr>
          <w:p w:rsidR="002A2660" w:rsidRDefault="002A2660" w:rsidP="002A2660">
            <w:pPr>
              <w:bidi w:val="0"/>
              <w:jc w:val="both"/>
              <w:rPr>
                <w:rFonts w:eastAsiaTheme="minorEastAsia" w:cs="Arial"/>
                <w:lang w:eastAsia="en-GB"/>
              </w:rPr>
            </w:pPr>
          </w:p>
        </w:tc>
        <w:tc>
          <w:tcPr>
            <w:tcW w:w="2869" w:type="dxa"/>
          </w:tcPr>
          <w:p w:rsidR="002A2660" w:rsidRDefault="002A2660" w:rsidP="002A2660">
            <w:pPr>
              <w:bidi w:val="0"/>
              <w:jc w:val="both"/>
              <w:rPr>
                <w:rFonts w:eastAsiaTheme="minorEastAsia" w:cs="Arial"/>
                <w:lang w:eastAsia="en-GB"/>
              </w:rPr>
            </w:pPr>
            <w:r>
              <w:rPr>
                <w:rFonts w:eastAsiaTheme="minorEastAsia" w:cs="Arial"/>
                <w:lang w:eastAsia="en-GB"/>
              </w:rPr>
              <w:t>Dragan Popovic – Chief Technical Advisor</w:t>
            </w:r>
            <w:r w:rsidR="007748C2">
              <w:rPr>
                <w:rFonts w:eastAsiaTheme="minorEastAsia" w:cs="Arial"/>
                <w:lang w:eastAsia="en-GB"/>
              </w:rPr>
              <w:t xml:space="preserve"> (international)</w:t>
            </w:r>
          </w:p>
        </w:tc>
        <w:tc>
          <w:tcPr>
            <w:tcW w:w="1531" w:type="dxa"/>
          </w:tcPr>
          <w:p w:rsidR="002A2660" w:rsidRDefault="002A2660" w:rsidP="002A2660">
            <w:pPr>
              <w:bidi w:val="0"/>
              <w:jc w:val="both"/>
              <w:rPr>
                <w:rFonts w:eastAsiaTheme="minorEastAsia" w:cs="Arial"/>
                <w:lang w:eastAsia="en-GB"/>
              </w:rPr>
            </w:pPr>
            <w:r>
              <w:rPr>
                <w:rFonts w:eastAsiaTheme="minorEastAsia" w:cs="Arial"/>
                <w:lang w:eastAsia="en-GB"/>
              </w:rPr>
              <w:t>28</w:t>
            </w:r>
            <w:r w:rsidRPr="00F80856">
              <w:rPr>
                <w:rFonts w:eastAsiaTheme="minorEastAsia" w:cs="Arial"/>
                <w:vertAlign w:val="superscript"/>
                <w:lang w:eastAsia="en-GB"/>
              </w:rPr>
              <w:t>th</w:t>
            </w:r>
            <w:r>
              <w:rPr>
                <w:rFonts w:eastAsiaTheme="minorEastAsia" w:cs="Arial"/>
                <w:lang w:eastAsia="en-GB"/>
              </w:rPr>
              <w:t xml:space="preserve"> February 2013 – 27</w:t>
            </w:r>
            <w:r w:rsidRPr="00F80856">
              <w:rPr>
                <w:rFonts w:eastAsiaTheme="minorEastAsia" w:cs="Arial"/>
                <w:vertAlign w:val="superscript"/>
                <w:lang w:eastAsia="en-GB"/>
              </w:rPr>
              <w:t>th</w:t>
            </w:r>
            <w:r>
              <w:rPr>
                <w:rFonts w:eastAsiaTheme="minorEastAsia" w:cs="Arial"/>
                <w:lang w:eastAsia="en-GB"/>
              </w:rPr>
              <w:t xml:space="preserve">  February 2016</w:t>
            </w:r>
          </w:p>
        </w:tc>
        <w:tc>
          <w:tcPr>
            <w:tcW w:w="1549" w:type="dxa"/>
          </w:tcPr>
          <w:p w:rsidR="002A2660" w:rsidRDefault="002A2660" w:rsidP="002A2660">
            <w:pPr>
              <w:bidi w:val="0"/>
              <w:jc w:val="both"/>
              <w:rPr>
                <w:rFonts w:eastAsiaTheme="minorEastAsia" w:cs="Arial"/>
                <w:lang w:eastAsia="en-GB"/>
              </w:rPr>
            </w:pPr>
            <w:r>
              <w:rPr>
                <w:rFonts w:eastAsiaTheme="minorEastAsia" w:cs="Arial"/>
                <w:lang w:eastAsia="en-GB"/>
              </w:rPr>
              <w:t>0</w:t>
            </w:r>
          </w:p>
        </w:tc>
        <w:tc>
          <w:tcPr>
            <w:tcW w:w="1425" w:type="dxa"/>
          </w:tcPr>
          <w:p w:rsidR="002A2660" w:rsidRDefault="002A2660" w:rsidP="002A2660">
            <w:pPr>
              <w:bidi w:val="0"/>
              <w:jc w:val="both"/>
              <w:rPr>
                <w:rFonts w:eastAsiaTheme="minorEastAsia" w:cs="Arial"/>
                <w:lang w:eastAsia="en-GB"/>
              </w:rPr>
            </w:pPr>
            <w:r>
              <w:rPr>
                <w:rFonts w:eastAsiaTheme="minorEastAsia" w:cs="Arial"/>
                <w:lang w:eastAsia="en-GB"/>
              </w:rPr>
              <w:t>$ 286,000 (pro forma)</w:t>
            </w:r>
          </w:p>
        </w:tc>
      </w:tr>
      <w:tr w:rsidR="002A2660" w:rsidTr="002A2660">
        <w:tc>
          <w:tcPr>
            <w:tcW w:w="1181" w:type="dxa"/>
          </w:tcPr>
          <w:p w:rsidR="002A2660" w:rsidRDefault="002A2660" w:rsidP="002A2660">
            <w:pPr>
              <w:bidi w:val="0"/>
              <w:jc w:val="both"/>
              <w:rPr>
                <w:rFonts w:eastAsiaTheme="minorEastAsia" w:cs="Arial"/>
                <w:lang w:eastAsia="en-GB"/>
              </w:rPr>
            </w:pPr>
          </w:p>
        </w:tc>
        <w:tc>
          <w:tcPr>
            <w:tcW w:w="2869" w:type="dxa"/>
          </w:tcPr>
          <w:p w:rsidR="002A2660" w:rsidRDefault="002A2660" w:rsidP="007748C2">
            <w:pPr>
              <w:bidi w:val="0"/>
              <w:jc w:val="both"/>
              <w:rPr>
                <w:rFonts w:eastAsiaTheme="minorEastAsia" w:cs="Arial"/>
                <w:lang w:eastAsia="en-GB"/>
              </w:rPr>
            </w:pPr>
            <w:r>
              <w:rPr>
                <w:rFonts w:eastAsiaTheme="minorEastAsia" w:cs="Arial"/>
                <w:lang w:eastAsia="en-GB"/>
              </w:rPr>
              <w:t>Rawhi Afaghani – Peace and Conflict Resolution Specialist</w:t>
            </w:r>
            <w:r w:rsidR="007748C2">
              <w:t xml:space="preserve"> (international) </w:t>
            </w:r>
          </w:p>
        </w:tc>
        <w:tc>
          <w:tcPr>
            <w:tcW w:w="1531" w:type="dxa"/>
          </w:tcPr>
          <w:p w:rsidR="002A2660" w:rsidRDefault="002A2660" w:rsidP="002A2660">
            <w:pPr>
              <w:bidi w:val="0"/>
              <w:jc w:val="both"/>
              <w:rPr>
                <w:rFonts w:eastAsiaTheme="minorEastAsia" w:cs="Arial"/>
                <w:lang w:eastAsia="en-GB"/>
              </w:rPr>
            </w:pPr>
            <w:r>
              <w:rPr>
                <w:rFonts w:eastAsiaTheme="minorEastAsia" w:cs="Arial"/>
                <w:lang w:eastAsia="en-GB"/>
              </w:rPr>
              <w:t>11</w:t>
            </w:r>
            <w:r w:rsidRPr="006F747F">
              <w:rPr>
                <w:rFonts w:eastAsiaTheme="minorEastAsia" w:cs="Arial"/>
                <w:vertAlign w:val="superscript"/>
                <w:lang w:eastAsia="en-GB"/>
              </w:rPr>
              <w:t>th</w:t>
            </w:r>
            <w:r>
              <w:rPr>
                <w:rFonts w:eastAsiaTheme="minorEastAsia" w:cs="Arial"/>
                <w:lang w:eastAsia="en-GB"/>
              </w:rPr>
              <w:t xml:space="preserve"> January 2015 – 10</w:t>
            </w:r>
            <w:r w:rsidRPr="006F747F">
              <w:rPr>
                <w:rFonts w:eastAsiaTheme="minorEastAsia" w:cs="Arial"/>
                <w:vertAlign w:val="superscript"/>
                <w:lang w:eastAsia="en-GB"/>
              </w:rPr>
              <w:t>th</w:t>
            </w:r>
            <w:r>
              <w:rPr>
                <w:rFonts w:eastAsiaTheme="minorEastAsia" w:cs="Arial"/>
                <w:lang w:eastAsia="en-GB"/>
              </w:rPr>
              <w:t xml:space="preserve"> January 2016</w:t>
            </w:r>
          </w:p>
        </w:tc>
        <w:tc>
          <w:tcPr>
            <w:tcW w:w="1549" w:type="dxa"/>
          </w:tcPr>
          <w:p w:rsidR="002A2660" w:rsidRDefault="002A2660" w:rsidP="002A2660">
            <w:pPr>
              <w:bidi w:val="0"/>
              <w:jc w:val="both"/>
              <w:rPr>
                <w:rFonts w:eastAsiaTheme="minorEastAsia" w:cs="Arial"/>
                <w:lang w:eastAsia="en-GB"/>
              </w:rPr>
            </w:pPr>
            <w:r>
              <w:rPr>
                <w:rFonts w:eastAsiaTheme="minorEastAsia" w:cs="Arial"/>
                <w:lang w:eastAsia="en-GB"/>
              </w:rPr>
              <w:t>0</w:t>
            </w:r>
          </w:p>
        </w:tc>
        <w:tc>
          <w:tcPr>
            <w:tcW w:w="1425" w:type="dxa"/>
          </w:tcPr>
          <w:p w:rsidR="002A2660" w:rsidRDefault="002A2660" w:rsidP="002A2660">
            <w:pPr>
              <w:bidi w:val="0"/>
              <w:jc w:val="both"/>
              <w:rPr>
                <w:rFonts w:eastAsiaTheme="minorEastAsia" w:cs="Arial"/>
                <w:lang w:eastAsia="en-GB"/>
              </w:rPr>
            </w:pPr>
            <w:r>
              <w:rPr>
                <w:rFonts w:eastAsiaTheme="minorEastAsia" w:cs="Arial"/>
                <w:lang w:eastAsia="en-GB"/>
              </w:rPr>
              <w:t>$ 286,000 (pro forma)</w:t>
            </w:r>
          </w:p>
        </w:tc>
      </w:tr>
      <w:tr w:rsidR="002A2660" w:rsidTr="001D78AB">
        <w:tc>
          <w:tcPr>
            <w:tcW w:w="1181" w:type="dxa"/>
          </w:tcPr>
          <w:p w:rsidR="002A2660" w:rsidRDefault="002A2660" w:rsidP="002A2660">
            <w:pPr>
              <w:bidi w:val="0"/>
              <w:jc w:val="both"/>
              <w:rPr>
                <w:rFonts w:eastAsiaTheme="minorEastAsia" w:cs="Arial"/>
                <w:lang w:eastAsia="en-GB"/>
              </w:rPr>
            </w:pPr>
          </w:p>
        </w:tc>
        <w:tc>
          <w:tcPr>
            <w:tcW w:w="4400" w:type="dxa"/>
            <w:gridSpan w:val="2"/>
          </w:tcPr>
          <w:p w:rsidR="002A2660" w:rsidRPr="002A2660" w:rsidRDefault="002A2660" w:rsidP="002A2660">
            <w:pPr>
              <w:bidi w:val="0"/>
              <w:jc w:val="right"/>
              <w:rPr>
                <w:rFonts w:eastAsiaTheme="minorEastAsia" w:cs="Arial"/>
                <w:b/>
                <w:bCs/>
                <w:lang w:eastAsia="en-GB"/>
              </w:rPr>
            </w:pPr>
            <w:r w:rsidRPr="002A2660">
              <w:rPr>
                <w:rFonts w:eastAsiaTheme="minorEastAsia" w:cs="Arial"/>
                <w:b/>
                <w:bCs/>
                <w:lang w:eastAsia="en-GB"/>
              </w:rPr>
              <w:t>Total</w:t>
            </w:r>
          </w:p>
        </w:tc>
        <w:tc>
          <w:tcPr>
            <w:tcW w:w="1549" w:type="dxa"/>
          </w:tcPr>
          <w:p w:rsidR="002A2660" w:rsidRPr="002A2660" w:rsidRDefault="002A2660" w:rsidP="002A2660">
            <w:pPr>
              <w:bidi w:val="0"/>
              <w:jc w:val="both"/>
              <w:rPr>
                <w:rFonts w:eastAsiaTheme="minorEastAsia" w:cs="Arial"/>
                <w:b/>
                <w:bCs/>
                <w:lang w:eastAsia="en-GB"/>
              </w:rPr>
            </w:pPr>
            <w:r w:rsidRPr="002A2660">
              <w:rPr>
                <w:rFonts w:eastAsiaTheme="minorEastAsia" w:cs="Arial"/>
                <w:b/>
                <w:bCs/>
                <w:lang w:eastAsia="en-GB"/>
              </w:rPr>
              <w:t>$ 30,228</w:t>
            </w:r>
          </w:p>
        </w:tc>
        <w:tc>
          <w:tcPr>
            <w:tcW w:w="1425" w:type="dxa"/>
          </w:tcPr>
          <w:p w:rsidR="002A2660" w:rsidRPr="002A2660" w:rsidRDefault="002A2660" w:rsidP="002A2660">
            <w:pPr>
              <w:bidi w:val="0"/>
              <w:jc w:val="both"/>
              <w:rPr>
                <w:rFonts w:eastAsiaTheme="minorEastAsia" w:cs="Arial"/>
                <w:b/>
                <w:bCs/>
                <w:lang w:eastAsia="en-GB"/>
              </w:rPr>
            </w:pPr>
            <w:r>
              <w:rPr>
                <w:rFonts w:eastAsiaTheme="minorEastAsia" w:cs="Arial"/>
                <w:b/>
                <w:bCs/>
                <w:lang w:eastAsia="en-GB"/>
              </w:rPr>
              <w:t>$ 662,604</w:t>
            </w:r>
            <w:r w:rsidR="00AD38A8">
              <w:rPr>
                <w:rStyle w:val="FootnoteReference"/>
                <w:rFonts w:eastAsiaTheme="minorEastAsia" w:cs="Arial"/>
                <w:b/>
                <w:bCs/>
                <w:lang w:eastAsia="en-GB"/>
              </w:rPr>
              <w:footnoteReference w:id="2"/>
            </w:r>
          </w:p>
        </w:tc>
      </w:tr>
    </w:tbl>
    <w:p w:rsidR="00162593" w:rsidRDefault="00162593" w:rsidP="00162593">
      <w:pPr>
        <w:bidi w:val="0"/>
        <w:spacing w:after="0" w:line="240" w:lineRule="auto"/>
        <w:jc w:val="both"/>
        <w:rPr>
          <w:rFonts w:eastAsiaTheme="minorEastAsia" w:cs="Arial"/>
          <w:lang w:eastAsia="en-GB"/>
        </w:rPr>
      </w:pPr>
    </w:p>
    <w:p w:rsidR="002A2660" w:rsidRDefault="002A2660" w:rsidP="002A2660">
      <w:pPr>
        <w:bidi w:val="0"/>
        <w:spacing w:after="0" w:line="240" w:lineRule="auto"/>
        <w:jc w:val="both"/>
        <w:rPr>
          <w:rFonts w:eastAsiaTheme="minorEastAsia" w:cs="Arial"/>
          <w:lang w:eastAsia="en-GB"/>
        </w:rPr>
      </w:pPr>
    </w:p>
    <w:tbl>
      <w:tblPr>
        <w:tblStyle w:val="TableGrid"/>
        <w:tblW w:w="0" w:type="auto"/>
        <w:tblLook w:val="04A0" w:firstRow="1" w:lastRow="0" w:firstColumn="1" w:lastColumn="0" w:noHBand="0" w:noVBand="1"/>
      </w:tblPr>
      <w:tblGrid>
        <w:gridCol w:w="7737"/>
        <w:gridCol w:w="1750"/>
      </w:tblGrid>
      <w:tr w:rsidR="00D83E2E" w:rsidTr="00A765C3">
        <w:tc>
          <w:tcPr>
            <w:tcW w:w="7737" w:type="dxa"/>
          </w:tcPr>
          <w:p w:rsidR="00D83E2E" w:rsidRPr="00D83E2E" w:rsidRDefault="00D83E2E" w:rsidP="00D83E2E">
            <w:pPr>
              <w:bidi w:val="0"/>
              <w:jc w:val="both"/>
              <w:rPr>
                <w:rFonts w:eastAsiaTheme="minorEastAsia" w:cs="Arial"/>
                <w:b/>
                <w:lang w:eastAsia="en-GB"/>
              </w:rPr>
            </w:pPr>
            <w:r w:rsidRPr="00D83E2E">
              <w:rPr>
                <w:rFonts w:eastAsiaTheme="minorEastAsia" w:cs="Arial"/>
                <w:b/>
                <w:lang w:eastAsia="en-GB"/>
              </w:rPr>
              <w:t>Anticipated balance left in project budget after meeting all contractual obligations as of 10 April 2015</w:t>
            </w:r>
          </w:p>
        </w:tc>
        <w:tc>
          <w:tcPr>
            <w:tcW w:w="1750" w:type="dxa"/>
          </w:tcPr>
          <w:p w:rsidR="00D83E2E" w:rsidRDefault="00D16506" w:rsidP="00A765C3">
            <w:pPr>
              <w:bidi w:val="0"/>
              <w:jc w:val="both"/>
              <w:rPr>
                <w:rFonts w:eastAsiaTheme="minorEastAsia" w:cs="Arial"/>
                <w:lang w:eastAsia="en-GB"/>
              </w:rPr>
            </w:pPr>
            <w:r>
              <w:rPr>
                <w:rFonts w:eastAsiaTheme="minorEastAsia" w:cs="Arial"/>
                <w:lang w:eastAsia="en-GB"/>
              </w:rPr>
              <w:t xml:space="preserve">$ </w:t>
            </w:r>
            <w:r w:rsidR="00A765C3">
              <w:rPr>
                <w:rFonts w:eastAsiaTheme="minorEastAsia" w:cs="Arial"/>
                <w:lang w:eastAsia="en-GB"/>
              </w:rPr>
              <w:t>864</w:t>
            </w:r>
            <w:r>
              <w:rPr>
                <w:rFonts w:eastAsiaTheme="minorEastAsia" w:cs="Arial"/>
                <w:lang w:eastAsia="en-GB"/>
              </w:rPr>
              <w:t>,</w:t>
            </w:r>
            <w:r w:rsidR="00A765C3">
              <w:rPr>
                <w:rFonts w:eastAsiaTheme="minorEastAsia" w:cs="Arial"/>
                <w:lang w:eastAsia="en-GB"/>
              </w:rPr>
              <w:t xml:space="preserve">053 </w:t>
            </w:r>
          </w:p>
        </w:tc>
      </w:tr>
      <w:tr w:rsidR="00A765C3" w:rsidTr="00E16EA7">
        <w:tc>
          <w:tcPr>
            <w:tcW w:w="9487" w:type="dxa"/>
            <w:gridSpan w:val="2"/>
          </w:tcPr>
          <w:p w:rsidR="00A765C3" w:rsidRDefault="00A765C3" w:rsidP="00A765C3">
            <w:pPr>
              <w:bidi w:val="0"/>
              <w:jc w:val="both"/>
              <w:rPr>
                <w:rFonts w:eastAsiaTheme="minorEastAsia" w:cs="Arial"/>
                <w:bCs/>
                <w:lang w:eastAsia="en-GB"/>
              </w:rPr>
            </w:pPr>
            <w:r>
              <w:rPr>
                <w:rFonts w:eastAsiaTheme="minorEastAsia" w:cs="Arial"/>
                <w:b/>
                <w:lang w:eastAsia="en-GB"/>
              </w:rPr>
              <w:lastRenderedPageBreak/>
              <w:t xml:space="preserve">NOTE: </w:t>
            </w:r>
            <w:r w:rsidRPr="00A765C3">
              <w:rPr>
                <w:rFonts w:eastAsiaTheme="minorEastAsia" w:cs="Arial"/>
                <w:bCs/>
                <w:lang w:eastAsia="en-GB"/>
              </w:rPr>
              <w:t xml:space="preserve">Please note that the balance is $ 933,825. However, </w:t>
            </w:r>
            <w:r>
              <w:rPr>
                <w:rFonts w:eastAsiaTheme="minorEastAsia" w:cs="Arial"/>
                <w:bCs/>
                <w:lang w:eastAsia="en-GB"/>
              </w:rPr>
              <w:t xml:space="preserve">so far </w:t>
            </w:r>
            <w:r w:rsidRPr="00A765C3">
              <w:rPr>
                <w:rFonts w:eastAsiaTheme="minorEastAsia" w:cs="Arial"/>
                <w:bCs/>
                <w:lang w:eastAsia="en-GB"/>
              </w:rPr>
              <w:t xml:space="preserve">the project </w:t>
            </w:r>
            <w:r>
              <w:rPr>
                <w:rFonts w:eastAsiaTheme="minorEastAsia" w:cs="Arial"/>
                <w:bCs/>
                <w:lang w:eastAsia="en-GB"/>
              </w:rPr>
              <w:t xml:space="preserve">has paid </w:t>
            </w:r>
            <w:r w:rsidRPr="00A765C3">
              <w:rPr>
                <w:rFonts w:eastAsiaTheme="minorEastAsia" w:cs="Arial"/>
                <w:bCs/>
                <w:lang w:eastAsia="en-GB"/>
              </w:rPr>
              <w:t>$ 30,228</w:t>
            </w:r>
            <w:r>
              <w:rPr>
                <w:rStyle w:val="FootnoteReference"/>
                <w:rFonts w:eastAsiaTheme="minorEastAsia" w:cs="Arial"/>
                <w:bCs/>
                <w:lang w:eastAsia="en-GB"/>
              </w:rPr>
              <w:footnoteReference w:id="3"/>
            </w:r>
            <w:r w:rsidRPr="00A765C3">
              <w:rPr>
                <w:rFonts w:eastAsiaTheme="minorEastAsia" w:cs="Arial"/>
                <w:bCs/>
                <w:lang w:eastAsia="en-GB"/>
              </w:rPr>
              <w:t xml:space="preserve"> </w:t>
            </w:r>
            <w:r>
              <w:rPr>
                <w:rFonts w:eastAsiaTheme="minorEastAsia" w:cs="Arial"/>
                <w:bCs/>
                <w:lang w:eastAsia="en-GB"/>
              </w:rPr>
              <w:t>for contractual obligations (</w:t>
            </w:r>
            <w:r w:rsidRPr="00A765C3">
              <w:rPr>
                <w:rFonts w:eastAsiaTheme="minorEastAsia" w:cs="Arial"/>
                <w:bCs/>
                <w:lang w:eastAsia="en-GB"/>
              </w:rPr>
              <w:t>salaries</w:t>
            </w:r>
            <w:r>
              <w:rPr>
                <w:rFonts w:eastAsiaTheme="minorEastAsia" w:cs="Arial"/>
                <w:bCs/>
                <w:lang w:eastAsia="en-GB"/>
              </w:rPr>
              <w:t xml:space="preserve">). </w:t>
            </w:r>
            <w:r w:rsidRPr="00A765C3">
              <w:rPr>
                <w:rFonts w:eastAsiaTheme="minorEastAsia" w:cs="Arial"/>
                <w:bCs/>
                <w:lang w:eastAsia="en-GB"/>
              </w:rPr>
              <w:t>$ 69,772 stays unspent for contractual obligations (salaries</w:t>
            </w:r>
            <w:r>
              <w:rPr>
                <w:rFonts w:eastAsiaTheme="minorEastAsia" w:cs="Arial"/>
                <w:bCs/>
                <w:lang w:eastAsia="en-GB"/>
              </w:rPr>
              <w:t xml:space="preserve">), </w:t>
            </w:r>
            <w:r w:rsidRPr="00A765C3">
              <w:rPr>
                <w:rFonts w:eastAsiaTheme="minorEastAsia" w:cs="Arial"/>
                <w:bCs/>
                <w:lang w:eastAsia="en-GB"/>
              </w:rPr>
              <w:t xml:space="preserve">to reach $ 100,000, which is the </w:t>
            </w:r>
            <w:r>
              <w:rPr>
                <w:rFonts w:eastAsiaTheme="minorEastAsia" w:cs="Arial"/>
                <w:bCs/>
                <w:lang w:eastAsia="en-GB"/>
              </w:rPr>
              <w:t>pro-doc budget related amount. Because of that</w:t>
            </w:r>
            <w:r w:rsidR="007748C2">
              <w:rPr>
                <w:rFonts w:eastAsiaTheme="minorEastAsia" w:cs="Arial"/>
                <w:bCs/>
                <w:lang w:eastAsia="en-GB"/>
              </w:rPr>
              <w:t>,</w:t>
            </w:r>
            <w:r>
              <w:rPr>
                <w:rFonts w:eastAsiaTheme="minorEastAsia" w:cs="Arial"/>
                <w:bCs/>
                <w:lang w:eastAsia="en-GB"/>
              </w:rPr>
              <w:t xml:space="preserve"> $ 864,053 is </w:t>
            </w:r>
            <w:r w:rsidR="007748C2">
              <w:rPr>
                <w:rFonts w:eastAsiaTheme="minorEastAsia" w:cs="Arial"/>
                <w:bCs/>
                <w:lang w:eastAsia="en-GB"/>
              </w:rPr>
              <w:t xml:space="preserve">stressed as </w:t>
            </w:r>
            <w:r>
              <w:rPr>
                <w:rFonts w:eastAsiaTheme="minorEastAsia" w:cs="Arial"/>
                <w:bCs/>
                <w:lang w:eastAsia="en-GB"/>
              </w:rPr>
              <w:t xml:space="preserve">anticipated amount. </w:t>
            </w:r>
          </w:p>
          <w:p w:rsidR="00420D5D" w:rsidRDefault="00420D5D" w:rsidP="00420D5D">
            <w:pPr>
              <w:bidi w:val="0"/>
              <w:jc w:val="both"/>
              <w:rPr>
                <w:rFonts w:eastAsiaTheme="minorEastAsia" w:cs="Arial"/>
                <w:bCs/>
                <w:lang w:eastAsia="en-GB"/>
              </w:rPr>
            </w:pPr>
          </w:p>
          <w:p w:rsidR="00A765C3" w:rsidRPr="00A765C3" w:rsidRDefault="00A765C3" w:rsidP="00420D5D">
            <w:pPr>
              <w:bidi w:val="0"/>
              <w:jc w:val="both"/>
              <w:rPr>
                <w:rFonts w:eastAsiaTheme="minorEastAsia" w:cs="Arial"/>
                <w:b/>
                <w:lang w:eastAsia="en-GB"/>
              </w:rPr>
            </w:pPr>
            <w:r>
              <w:rPr>
                <w:rFonts w:eastAsiaTheme="minorEastAsia" w:cs="Arial"/>
                <w:bCs/>
                <w:lang w:eastAsia="en-GB"/>
              </w:rPr>
              <w:t>In addition, please not</w:t>
            </w:r>
            <w:r w:rsidR="00420D5D">
              <w:rPr>
                <w:rFonts w:eastAsiaTheme="minorEastAsia" w:cs="Arial"/>
                <w:bCs/>
                <w:lang w:eastAsia="en-GB"/>
              </w:rPr>
              <w:t>e</w:t>
            </w:r>
            <w:r>
              <w:rPr>
                <w:rFonts w:eastAsiaTheme="minorEastAsia" w:cs="Arial"/>
                <w:bCs/>
                <w:lang w:eastAsia="en-GB"/>
              </w:rPr>
              <w:t xml:space="preserve"> that GMS (7 %), DPC (5 %) and multi-funded posts related amount</w:t>
            </w:r>
            <w:r w:rsidR="00420D5D">
              <w:rPr>
                <w:rFonts w:eastAsiaTheme="minorEastAsia" w:cs="Arial"/>
                <w:bCs/>
                <w:lang w:eastAsia="en-GB"/>
              </w:rPr>
              <w:t>s</w:t>
            </w:r>
            <w:r>
              <w:rPr>
                <w:rFonts w:eastAsiaTheme="minorEastAsia" w:cs="Arial"/>
                <w:bCs/>
                <w:lang w:eastAsia="en-GB"/>
              </w:rPr>
              <w:t xml:space="preserve"> have not been included in calculation.</w:t>
            </w:r>
            <w:r w:rsidR="00420D5D">
              <w:rPr>
                <w:rFonts w:eastAsiaTheme="minorEastAsia" w:cs="Arial"/>
                <w:bCs/>
                <w:lang w:eastAsia="en-GB"/>
              </w:rPr>
              <w:t xml:space="preserve"> Once those figures are included, indicative budget balance will be concluded.   </w:t>
            </w:r>
            <w:r>
              <w:rPr>
                <w:rFonts w:eastAsiaTheme="minorEastAsia" w:cs="Arial"/>
                <w:bCs/>
                <w:lang w:eastAsia="en-GB"/>
              </w:rPr>
              <w:t xml:space="preserve"> </w:t>
            </w:r>
          </w:p>
        </w:tc>
      </w:tr>
    </w:tbl>
    <w:p w:rsidR="00D83E2E" w:rsidRPr="00937EBB" w:rsidRDefault="00D83E2E" w:rsidP="009809C0">
      <w:pPr>
        <w:bidi w:val="0"/>
        <w:spacing w:after="0" w:line="240" w:lineRule="auto"/>
        <w:jc w:val="both"/>
        <w:rPr>
          <w:rFonts w:eastAsiaTheme="minorEastAsia" w:cs="Arial"/>
          <w:lang w:eastAsia="en-GB"/>
        </w:rPr>
      </w:pPr>
    </w:p>
    <w:sectPr w:rsidR="00D83E2E" w:rsidRPr="00937EBB" w:rsidSect="000C0AE6">
      <w:footerReference w:type="default" r:id="rId13"/>
      <w:pgSz w:w="11906" w:h="16838"/>
      <w:pgMar w:top="1440" w:right="1133" w:bottom="1440" w:left="1276"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FD1" w:rsidRDefault="000D6FD1" w:rsidP="004407A0">
      <w:pPr>
        <w:spacing w:after="0" w:line="240" w:lineRule="auto"/>
      </w:pPr>
      <w:r>
        <w:separator/>
      </w:r>
    </w:p>
  </w:endnote>
  <w:endnote w:type="continuationSeparator" w:id="0">
    <w:p w:rsidR="000D6FD1" w:rsidRDefault="000D6FD1" w:rsidP="0044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Bold">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8250473"/>
      <w:docPartObj>
        <w:docPartGallery w:val="Page Numbers (Bottom of Page)"/>
        <w:docPartUnique/>
      </w:docPartObj>
    </w:sdtPr>
    <w:sdtEndPr>
      <w:rPr>
        <w:noProof/>
      </w:rPr>
    </w:sdtEndPr>
    <w:sdtContent>
      <w:p w:rsidR="009B5F8D" w:rsidRDefault="00F4462F">
        <w:pPr>
          <w:pStyle w:val="Footer"/>
          <w:jc w:val="center"/>
        </w:pPr>
        <w:r>
          <w:fldChar w:fldCharType="begin"/>
        </w:r>
        <w:r w:rsidR="009B5F8D">
          <w:instrText xml:space="preserve"> PAGE   \* MERGEFORMAT </w:instrText>
        </w:r>
        <w:r>
          <w:fldChar w:fldCharType="separate"/>
        </w:r>
        <w:r w:rsidR="00966C83">
          <w:rPr>
            <w:noProof/>
            <w:rtl/>
          </w:rPr>
          <w:t>11</w:t>
        </w:r>
        <w:r>
          <w:rPr>
            <w:noProof/>
          </w:rPr>
          <w:fldChar w:fldCharType="end"/>
        </w:r>
      </w:p>
    </w:sdtContent>
  </w:sdt>
  <w:p w:rsidR="009B5F8D" w:rsidRDefault="009B5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FD1" w:rsidRDefault="000D6FD1" w:rsidP="004407A0">
      <w:pPr>
        <w:spacing w:after="0" w:line="240" w:lineRule="auto"/>
      </w:pPr>
      <w:r>
        <w:separator/>
      </w:r>
    </w:p>
  </w:footnote>
  <w:footnote w:type="continuationSeparator" w:id="0">
    <w:p w:rsidR="000D6FD1" w:rsidRDefault="000D6FD1" w:rsidP="004407A0">
      <w:pPr>
        <w:spacing w:after="0" w:line="240" w:lineRule="auto"/>
      </w:pPr>
      <w:r>
        <w:continuationSeparator/>
      </w:r>
    </w:p>
  </w:footnote>
  <w:footnote w:id="1">
    <w:p w:rsidR="002A2660" w:rsidRPr="007748C2" w:rsidRDefault="002A2660" w:rsidP="002A2660">
      <w:pPr>
        <w:pStyle w:val="FootnoteText"/>
        <w:rPr>
          <w:rFonts w:asciiTheme="minorHAnsi" w:hAnsiTheme="minorHAnsi"/>
          <w:lang w:val="en-US"/>
        </w:rPr>
      </w:pPr>
      <w:r w:rsidRPr="007748C2">
        <w:rPr>
          <w:rStyle w:val="FootnoteReference"/>
          <w:rFonts w:asciiTheme="minorHAnsi" w:hAnsiTheme="minorHAnsi"/>
        </w:rPr>
        <w:footnoteRef/>
      </w:r>
      <w:r w:rsidRPr="007748C2">
        <w:rPr>
          <w:rFonts w:asciiTheme="minorHAnsi" w:hAnsiTheme="minorHAnsi"/>
        </w:rPr>
        <w:t xml:space="preserve"> </w:t>
      </w:r>
      <w:r w:rsidRPr="007748C2">
        <w:rPr>
          <w:rFonts w:asciiTheme="minorHAnsi" w:hAnsiTheme="minorHAnsi"/>
          <w:lang w:val="en-US"/>
        </w:rPr>
        <w:t>Out of the mentioned amount, amount $ 30,228 have been paid for the local staff salaries. See below</w:t>
      </w:r>
    </w:p>
  </w:footnote>
  <w:footnote w:id="2">
    <w:p w:rsidR="00AD38A8" w:rsidRPr="00AD38A8" w:rsidRDefault="00AD38A8">
      <w:pPr>
        <w:pStyle w:val="FootnoteText"/>
        <w:rPr>
          <w:rFonts w:ascii="Calibri" w:hAnsi="Calibri"/>
          <w:lang w:val="en-US"/>
        </w:rPr>
      </w:pPr>
      <w:r>
        <w:rPr>
          <w:rStyle w:val="FootnoteReference"/>
        </w:rPr>
        <w:footnoteRef/>
      </w:r>
      <w:r>
        <w:t xml:space="preserve"> </w:t>
      </w:r>
      <w:r w:rsidRPr="00AD38A8">
        <w:rPr>
          <w:rFonts w:ascii="Calibri" w:hAnsi="Calibri"/>
          <w:lang w:val="en-US"/>
        </w:rPr>
        <w:t xml:space="preserve">These two </w:t>
      </w:r>
      <w:r>
        <w:rPr>
          <w:rFonts w:ascii="Calibri" w:hAnsi="Calibri"/>
          <w:lang w:val="en-US"/>
        </w:rPr>
        <w:t xml:space="preserve">international </w:t>
      </w:r>
      <w:r w:rsidRPr="00AD38A8">
        <w:rPr>
          <w:rFonts w:ascii="Calibri" w:hAnsi="Calibri"/>
          <w:lang w:val="en-US"/>
        </w:rPr>
        <w:t xml:space="preserve">posts are multi-donor funded posts and we are unable to apportion the PBF costs at the moment </w:t>
      </w:r>
      <w:r>
        <w:rPr>
          <w:rFonts w:ascii="Calibri" w:hAnsi="Calibri"/>
          <w:lang w:val="en-US"/>
        </w:rPr>
        <w:t>as</w:t>
      </w:r>
      <w:r w:rsidRPr="00AD38A8">
        <w:rPr>
          <w:rFonts w:ascii="Calibri" w:hAnsi="Calibri"/>
          <w:lang w:val="en-US"/>
        </w:rPr>
        <w:t xml:space="preserve"> </w:t>
      </w:r>
      <w:r>
        <w:rPr>
          <w:rFonts w:ascii="Calibri" w:hAnsi="Calibri"/>
        </w:rPr>
        <w:t>we were unable to get clear info about this</w:t>
      </w:r>
      <w:r w:rsidRPr="00AD38A8">
        <w:rPr>
          <w:rFonts w:ascii="Calibri" w:hAnsi="Calibri"/>
        </w:rPr>
        <w:t xml:space="preserve"> from </w:t>
      </w:r>
      <w:r>
        <w:rPr>
          <w:rFonts w:ascii="Calibri" w:hAnsi="Calibri"/>
        </w:rPr>
        <w:t xml:space="preserve">our finance unit </w:t>
      </w:r>
      <w:r w:rsidRPr="00AD38A8">
        <w:rPr>
          <w:rFonts w:ascii="Calibri" w:hAnsi="Calibri"/>
        </w:rPr>
        <w:t xml:space="preserve">regarding </w:t>
      </w:r>
      <w:r>
        <w:rPr>
          <w:rFonts w:ascii="Calibri" w:hAnsi="Calibri"/>
        </w:rPr>
        <w:t>exact amounts</w:t>
      </w:r>
      <w:r w:rsidRPr="00AD38A8">
        <w:rPr>
          <w:rFonts w:ascii="Calibri" w:hAnsi="Calibri"/>
        </w:rPr>
        <w:t>.</w:t>
      </w:r>
      <w:r w:rsidRPr="00AD38A8">
        <w:rPr>
          <w:rFonts w:ascii="Calibri" w:hAnsi="Calibri"/>
          <w:lang w:val="en-US"/>
        </w:rPr>
        <w:t xml:space="preserve"> </w:t>
      </w:r>
    </w:p>
  </w:footnote>
  <w:footnote w:id="3">
    <w:p w:rsidR="00A765C3" w:rsidRPr="007748C2" w:rsidRDefault="00A765C3">
      <w:pPr>
        <w:pStyle w:val="FootnoteText"/>
        <w:rPr>
          <w:rFonts w:asciiTheme="minorHAnsi" w:hAnsiTheme="minorHAnsi"/>
          <w:lang w:val="en-US"/>
        </w:rPr>
      </w:pPr>
      <w:r w:rsidRPr="007748C2">
        <w:rPr>
          <w:rStyle w:val="FootnoteReference"/>
          <w:rFonts w:asciiTheme="minorHAnsi" w:hAnsiTheme="minorHAnsi"/>
        </w:rPr>
        <w:footnoteRef/>
      </w:r>
      <w:r w:rsidRPr="007748C2">
        <w:rPr>
          <w:rFonts w:asciiTheme="minorHAnsi" w:hAnsiTheme="minorHAnsi"/>
        </w:rPr>
        <w:t xml:space="preserve"> </w:t>
      </w:r>
      <w:r w:rsidRPr="007748C2">
        <w:rPr>
          <w:rFonts w:asciiTheme="minorHAnsi" w:hAnsiTheme="minorHAnsi"/>
          <w:lang w:val="en-US"/>
        </w:rPr>
        <w:t xml:space="preserve">This amount is included in the abovementioned figure for overall expenditures - $ 66,175.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1D6F"/>
    <w:multiLevelType w:val="hybridMultilevel"/>
    <w:tmpl w:val="5872809A"/>
    <w:lvl w:ilvl="0" w:tplc="B9CE9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107CB"/>
    <w:multiLevelType w:val="hybridMultilevel"/>
    <w:tmpl w:val="9CC2434A"/>
    <w:lvl w:ilvl="0" w:tplc="6B40D54E">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1317B3"/>
    <w:multiLevelType w:val="hybridMultilevel"/>
    <w:tmpl w:val="AAA27CA0"/>
    <w:lvl w:ilvl="0" w:tplc="B9CE9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80652"/>
    <w:multiLevelType w:val="hybridMultilevel"/>
    <w:tmpl w:val="46D824C0"/>
    <w:lvl w:ilvl="0" w:tplc="B9CE9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85D3A"/>
    <w:multiLevelType w:val="hybridMultilevel"/>
    <w:tmpl w:val="74F45504"/>
    <w:lvl w:ilvl="0" w:tplc="6B40D54E">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03EA4"/>
    <w:multiLevelType w:val="hybridMultilevel"/>
    <w:tmpl w:val="9ED6F6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3933D5F"/>
    <w:multiLevelType w:val="hybridMultilevel"/>
    <w:tmpl w:val="680C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349"/>
    <w:multiLevelType w:val="hybridMultilevel"/>
    <w:tmpl w:val="DE88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A7C2D"/>
    <w:multiLevelType w:val="hybridMultilevel"/>
    <w:tmpl w:val="53DCAEB6"/>
    <w:lvl w:ilvl="0" w:tplc="6B40D54E">
      <w:start w:val="3"/>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A20AE"/>
    <w:multiLevelType w:val="hybridMultilevel"/>
    <w:tmpl w:val="01CC6D54"/>
    <w:lvl w:ilvl="0" w:tplc="D3E6998C">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08372D"/>
    <w:multiLevelType w:val="hybridMultilevel"/>
    <w:tmpl w:val="E25EE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2F2CB2"/>
    <w:multiLevelType w:val="hybridMultilevel"/>
    <w:tmpl w:val="C7E68130"/>
    <w:lvl w:ilvl="0" w:tplc="A998D6C4">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70E9F"/>
    <w:multiLevelType w:val="hybridMultilevel"/>
    <w:tmpl w:val="14660A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DB25FE4"/>
    <w:multiLevelType w:val="hybridMultilevel"/>
    <w:tmpl w:val="08DA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0"/>
  </w:num>
  <w:num w:numId="5">
    <w:abstractNumId w:val="9"/>
  </w:num>
  <w:num w:numId="6">
    <w:abstractNumId w:val="5"/>
  </w:num>
  <w:num w:numId="7">
    <w:abstractNumId w:val="11"/>
  </w:num>
  <w:num w:numId="8">
    <w:abstractNumId w:val="1"/>
  </w:num>
  <w:num w:numId="9">
    <w:abstractNumId w:val="8"/>
  </w:num>
  <w:num w:numId="10">
    <w:abstractNumId w:val="4"/>
  </w:num>
  <w:num w:numId="11">
    <w:abstractNumId w:val="3"/>
  </w:num>
  <w:num w:numId="12">
    <w:abstractNumId w:val="7"/>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14"/>
    <w:rsid w:val="000115C9"/>
    <w:rsid w:val="0003252D"/>
    <w:rsid w:val="0004659B"/>
    <w:rsid w:val="000638BB"/>
    <w:rsid w:val="00080EF2"/>
    <w:rsid w:val="000936DF"/>
    <w:rsid w:val="00095B11"/>
    <w:rsid w:val="000A61F9"/>
    <w:rsid w:val="000A7B96"/>
    <w:rsid w:val="000A7F0E"/>
    <w:rsid w:val="000B6F1D"/>
    <w:rsid w:val="000C0AE6"/>
    <w:rsid w:val="000C6B49"/>
    <w:rsid w:val="000D11C4"/>
    <w:rsid w:val="000D3463"/>
    <w:rsid w:val="000D3E55"/>
    <w:rsid w:val="000D6140"/>
    <w:rsid w:val="000D6FD1"/>
    <w:rsid w:val="000D752A"/>
    <w:rsid w:val="000E6BE1"/>
    <w:rsid w:val="000F458B"/>
    <w:rsid w:val="00117055"/>
    <w:rsid w:val="00122C88"/>
    <w:rsid w:val="00124CB3"/>
    <w:rsid w:val="001302FB"/>
    <w:rsid w:val="00132BE8"/>
    <w:rsid w:val="001350D7"/>
    <w:rsid w:val="0013727F"/>
    <w:rsid w:val="00137284"/>
    <w:rsid w:val="00142E65"/>
    <w:rsid w:val="001445A3"/>
    <w:rsid w:val="00147988"/>
    <w:rsid w:val="00162593"/>
    <w:rsid w:val="001A0E97"/>
    <w:rsid w:val="001A27EA"/>
    <w:rsid w:val="001A2823"/>
    <w:rsid w:val="001B2C5B"/>
    <w:rsid w:val="001B3646"/>
    <w:rsid w:val="001B6C83"/>
    <w:rsid w:val="001D0ADA"/>
    <w:rsid w:val="001F06B5"/>
    <w:rsid w:val="001F4A44"/>
    <w:rsid w:val="00204E84"/>
    <w:rsid w:val="00223BA5"/>
    <w:rsid w:val="00231484"/>
    <w:rsid w:val="00231A6A"/>
    <w:rsid w:val="00234C09"/>
    <w:rsid w:val="00240459"/>
    <w:rsid w:val="00243857"/>
    <w:rsid w:val="002832EE"/>
    <w:rsid w:val="002A2660"/>
    <w:rsid w:val="002B2E47"/>
    <w:rsid w:val="002B6509"/>
    <w:rsid w:val="002C08F6"/>
    <w:rsid w:val="002C2224"/>
    <w:rsid w:val="002C428B"/>
    <w:rsid w:val="002E114D"/>
    <w:rsid w:val="002E34F1"/>
    <w:rsid w:val="00300D7F"/>
    <w:rsid w:val="00346EC4"/>
    <w:rsid w:val="0035660B"/>
    <w:rsid w:val="0038387F"/>
    <w:rsid w:val="003A3565"/>
    <w:rsid w:val="003A5A3E"/>
    <w:rsid w:val="003A6D8C"/>
    <w:rsid w:val="003B2F14"/>
    <w:rsid w:val="003B5F5F"/>
    <w:rsid w:val="003C076B"/>
    <w:rsid w:val="003C3D47"/>
    <w:rsid w:val="003E4CA3"/>
    <w:rsid w:val="00401346"/>
    <w:rsid w:val="00407CF4"/>
    <w:rsid w:val="00413DBA"/>
    <w:rsid w:val="00420D5D"/>
    <w:rsid w:val="00424D74"/>
    <w:rsid w:val="004407A0"/>
    <w:rsid w:val="004419D5"/>
    <w:rsid w:val="00444786"/>
    <w:rsid w:val="00445FAF"/>
    <w:rsid w:val="00450D6A"/>
    <w:rsid w:val="004522A8"/>
    <w:rsid w:val="00474642"/>
    <w:rsid w:val="00474D8D"/>
    <w:rsid w:val="00482D57"/>
    <w:rsid w:val="00486E37"/>
    <w:rsid w:val="00491240"/>
    <w:rsid w:val="00491714"/>
    <w:rsid w:val="00492FDD"/>
    <w:rsid w:val="0049366C"/>
    <w:rsid w:val="004A3D42"/>
    <w:rsid w:val="004A5DD3"/>
    <w:rsid w:val="004B2A94"/>
    <w:rsid w:val="004C1B22"/>
    <w:rsid w:val="004C6D33"/>
    <w:rsid w:val="004D5AE9"/>
    <w:rsid w:val="004E70E8"/>
    <w:rsid w:val="004F7CDE"/>
    <w:rsid w:val="005022BC"/>
    <w:rsid w:val="00502AFF"/>
    <w:rsid w:val="0050310D"/>
    <w:rsid w:val="00512D03"/>
    <w:rsid w:val="00517FB5"/>
    <w:rsid w:val="00527139"/>
    <w:rsid w:val="0053393A"/>
    <w:rsid w:val="005563E0"/>
    <w:rsid w:val="00564871"/>
    <w:rsid w:val="00572C6F"/>
    <w:rsid w:val="00574343"/>
    <w:rsid w:val="00574624"/>
    <w:rsid w:val="00583D5D"/>
    <w:rsid w:val="0058535E"/>
    <w:rsid w:val="005A34A1"/>
    <w:rsid w:val="005B16A5"/>
    <w:rsid w:val="005B772E"/>
    <w:rsid w:val="005C3F18"/>
    <w:rsid w:val="005D1A2F"/>
    <w:rsid w:val="005D5A3F"/>
    <w:rsid w:val="005F5F7D"/>
    <w:rsid w:val="00602C63"/>
    <w:rsid w:val="00624EA5"/>
    <w:rsid w:val="006317EE"/>
    <w:rsid w:val="00632764"/>
    <w:rsid w:val="00650007"/>
    <w:rsid w:val="00657806"/>
    <w:rsid w:val="006775CB"/>
    <w:rsid w:val="006812BA"/>
    <w:rsid w:val="006866AF"/>
    <w:rsid w:val="006A485C"/>
    <w:rsid w:val="006C1A77"/>
    <w:rsid w:val="006C2267"/>
    <w:rsid w:val="006C6E1F"/>
    <w:rsid w:val="006D02D8"/>
    <w:rsid w:val="006E0452"/>
    <w:rsid w:val="006E45E4"/>
    <w:rsid w:val="006F10F2"/>
    <w:rsid w:val="006F2FBA"/>
    <w:rsid w:val="006F360E"/>
    <w:rsid w:val="006F4DFF"/>
    <w:rsid w:val="006F64CD"/>
    <w:rsid w:val="006F747F"/>
    <w:rsid w:val="007176D8"/>
    <w:rsid w:val="00750757"/>
    <w:rsid w:val="00751104"/>
    <w:rsid w:val="007748C2"/>
    <w:rsid w:val="00776CC5"/>
    <w:rsid w:val="007910E5"/>
    <w:rsid w:val="007A13DF"/>
    <w:rsid w:val="007D0BD8"/>
    <w:rsid w:val="008046B5"/>
    <w:rsid w:val="008064A5"/>
    <w:rsid w:val="00810C6A"/>
    <w:rsid w:val="00820E2D"/>
    <w:rsid w:val="008241F3"/>
    <w:rsid w:val="00830187"/>
    <w:rsid w:val="0083304C"/>
    <w:rsid w:val="008379EA"/>
    <w:rsid w:val="0084293A"/>
    <w:rsid w:val="0084333D"/>
    <w:rsid w:val="008626F7"/>
    <w:rsid w:val="00862B30"/>
    <w:rsid w:val="00876B12"/>
    <w:rsid w:val="00877EA2"/>
    <w:rsid w:val="00881241"/>
    <w:rsid w:val="00894BEC"/>
    <w:rsid w:val="00895748"/>
    <w:rsid w:val="00897ABC"/>
    <w:rsid w:val="008A1BFA"/>
    <w:rsid w:val="008A2DD7"/>
    <w:rsid w:val="008B7F9C"/>
    <w:rsid w:val="008E43A4"/>
    <w:rsid w:val="008E6681"/>
    <w:rsid w:val="008E66C4"/>
    <w:rsid w:val="008F0AEF"/>
    <w:rsid w:val="00901997"/>
    <w:rsid w:val="00906D7A"/>
    <w:rsid w:val="00912086"/>
    <w:rsid w:val="00916574"/>
    <w:rsid w:val="00925B80"/>
    <w:rsid w:val="00931491"/>
    <w:rsid w:val="00931A56"/>
    <w:rsid w:val="00937EBB"/>
    <w:rsid w:val="00952426"/>
    <w:rsid w:val="00952C06"/>
    <w:rsid w:val="00956808"/>
    <w:rsid w:val="0096134F"/>
    <w:rsid w:val="00966C83"/>
    <w:rsid w:val="00974828"/>
    <w:rsid w:val="00977054"/>
    <w:rsid w:val="009809C0"/>
    <w:rsid w:val="0099255A"/>
    <w:rsid w:val="009B29D4"/>
    <w:rsid w:val="009B5F8D"/>
    <w:rsid w:val="009C431A"/>
    <w:rsid w:val="009D3F44"/>
    <w:rsid w:val="009E06CC"/>
    <w:rsid w:val="009F398A"/>
    <w:rsid w:val="009F4388"/>
    <w:rsid w:val="00A107C1"/>
    <w:rsid w:val="00A165B9"/>
    <w:rsid w:val="00A2244B"/>
    <w:rsid w:val="00A225FB"/>
    <w:rsid w:val="00A30929"/>
    <w:rsid w:val="00A41DBC"/>
    <w:rsid w:val="00A43AB7"/>
    <w:rsid w:val="00A52EE8"/>
    <w:rsid w:val="00A74F92"/>
    <w:rsid w:val="00A765C3"/>
    <w:rsid w:val="00A81362"/>
    <w:rsid w:val="00A86DDD"/>
    <w:rsid w:val="00AD1C1B"/>
    <w:rsid w:val="00AD38A8"/>
    <w:rsid w:val="00AE3316"/>
    <w:rsid w:val="00AE3877"/>
    <w:rsid w:val="00AF173C"/>
    <w:rsid w:val="00B01166"/>
    <w:rsid w:val="00B11C4B"/>
    <w:rsid w:val="00B20ED2"/>
    <w:rsid w:val="00B22C59"/>
    <w:rsid w:val="00B360A4"/>
    <w:rsid w:val="00B36AFA"/>
    <w:rsid w:val="00B47406"/>
    <w:rsid w:val="00B626E7"/>
    <w:rsid w:val="00B653CC"/>
    <w:rsid w:val="00B74617"/>
    <w:rsid w:val="00B96895"/>
    <w:rsid w:val="00BA3654"/>
    <w:rsid w:val="00BB5338"/>
    <w:rsid w:val="00BC581C"/>
    <w:rsid w:val="00BC7476"/>
    <w:rsid w:val="00BC7A5C"/>
    <w:rsid w:val="00BD305A"/>
    <w:rsid w:val="00BD4687"/>
    <w:rsid w:val="00BD51F2"/>
    <w:rsid w:val="00C00B67"/>
    <w:rsid w:val="00C06412"/>
    <w:rsid w:val="00C103FF"/>
    <w:rsid w:val="00C133CA"/>
    <w:rsid w:val="00C3393B"/>
    <w:rsid w:val="00C5298B"/>
    <w:rsid w:val="00C66876"/>
    <w:rsid w:val="00C739EA"/>
    <w:rsid w:val="00CA086A"/>
    <w:rsid w:val="00CB39A3"/>
    <w:rsid w:val="00CB7DB0"/>
    <w:rsid w:val="00CC6A67"/>
    <w:rsid w:val="00CD0271"/>
    <w:rsid w:val="00CD02BC"/>
    <w:rsid w:val="00CD1D60"/>
    <w:rsid w:val="00CD2013"/>
    <w:rsid w:val="00CD2C23"/>
    <w:rsid w:val="00CD42D6"/>
    <w:rsid w:val="00CD7144"/>
    <w:rsid w:val="00CE57CF"/>
    <w:rsid w:val="00D15C87"/>
    <w:rsid w:val="00D15E3C"/>
    <w:rsid w:val="00D16506"/>
    <w:rsid w:val="00D25639"/>
    <w:rsid w:val="00D35B8B"/>
    <w:rsid w:val="00D43385"/>
    <w:rsid w:val="00D52B21"/>
    <w:rsid w:val="00D53B3D"/>
    <w:rsid w:val="00D65A7F"/>
    <w:rsid w:val="00D661D7"/>
    <w:rsid w:val="00D729BE"/>
    <w:rsid w:val="00D76987"/>
    <w:rsid w:val="00D83E2E"/>
    <w:rsid w:val="00D84462"/>
    <w:rsid w:val="00D94B94"/>
    <w:rsid w:val="00D96699"/>
    <w:rsid w:val="00DA3777"/>
    <w:rsid w:val="00DA57D5"/>
    <w:rsid w:val="00DE5074"/>
    <w:rsid w:val="00DE5A55"/>
    <w:rsid w:val="00DF5110"/>
    <w:rsid w:val="00E05A9B"/>
    <w:rsid w:val="00E0692F"/>
    <w:rsid w:val="00E20C4D"/>
    <w:rsid w:val="00E21434"/>
    <w:rsid w:val="00E24F53"/>
    <w:rsid w:val="00E26C87"/>
    <w:rsid w:val="00E33429"/>
    <w:rsid w:val="00E44965"/>
    <w:rsid w:val="00E60025"/>
    <w:rsid w:val="00E61B8D"/>
    <w:rsid w:val="00E72B83"/>
    <w:rsid w:val="00E87501"/>
    <w:rsid w:val="00E962D2"/>
    <w:rsid w:val="00EC6A2E"/>
    <w:rsid w:val="00ED100D"/>
    <w:rsid w:val="00ED5ED2"/>
    <w:rsid w:val="00ED61BD"/>
    <w:rsid w:val="00EE3D87"/>
    <w:rsid w:val="00F00955"/>
    <w:rsid w:val="00F03C6E"/>
    <w:rsid w:val="00F07599"/>
    <w:rsid w:val="00F10B8E"/>
    <w:rsid w:val="00F1216D"/>
    <w:rsid w:val="00F1385F"/>
    <w:rsid w:val="00F13A70"/>
    <w:rsid w:val="00F14833"/>
    <w:rsid w:val="00F256F3"/>
    <w:rsid w:val="00F26B58"/>
    <w:rsid w:val="00F270F2"/>
    <w:rsid w:val="00F37E4C"/>
    <w:rsid w:val="00F4462F"/>
    <w:rsid w:val="00F46BF7"/>
    <w:rsid w:val="00F471C4"/>
    <w:rsid w:val="00F47572"/>
    <w:rsid w:val="00F52250"/>
    <w:rsid w:val="00F5405D"/>
    <w:rsid w:val="00F54EB0"/>
    <w:rsid w:val="00F57B06"/>
    <w:rsid w:val="00F62CB4"/>
    <w:rsid w:val="00F64560"/>
    <w:rsid w:val="00F80856"/>
    <w:rsid w:val="00F9108B"/>
    <w:rsid w:val="00F94557"/>
    <w:rsid w:val="00F966DC"/>
    <w:rsid w:val="00FA1D40"/>
    <w:rsid w:val="00FA236E"/>
    <w:rsid w:val="00FA72C3"/>
    <w:rsid w:val="00FC2F22"/>
    <w:rsid w:val="00FE0B7F"/>
    <w:rsid w:val="00FE5949"/>
    <w:rsid w:val="00FF0FF1"/>
    <w:rsid w:val="00FF53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CCCD6-9F2A-42B6-BB94-B3914C0C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7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ADB,single space"/>
    <w:basedOn w:val="Normal"/>
    <w:link w:val="FootnoteTextChar"/>
    <w:rsid w:val="004407A0"/>
    <w:pPr>
      <w:widowControl w:val="0"/>
      <w:bidi w:val="0"/>
      <w:spacing w:after="0" w:line="240" w:lineRule="auto"/>
    </w:pPr>
    <w:rPr>
      <w:rFonts w:ascii="Times New Roman" w:eastAsia="Times New Roman" w:hAnsi="Times New Roman" w:cs="Times New Roman"/>
      <w:snapToGrid w:val="0"/>
      <w:sz w:val="20"/>
      <w:szCs w:val="20"/>
      <w:lang w:val="en-GB"/>
    </w:rPr>
  </w:style>
  <w:style w:type="character" w:customStyle="1" w:styleId="FootnoteTextChar">
    <w:name w:val="Footnote Text Char"/>
    <w:aliases w:val="ft Char,ADB Char,single space Char"/>
    <w:basedOn w:val="DefaultParagraphFont"/>
    <w:link w:val="FootnoteText"/>
    <w:rsid w:val="004407A0"/>
    <w:rPr>
      <w:rFonts w:ascii="Times New Roman" w:eastAsia="Times New Roman" w:hAnsi="Times New Roman" w:cs="Times New Roman"/>
      <w:snapToGrid w:val="0"/>
      <w:sz w:val="20"/>
      <w:szCs w:val="20"/>
      <w:lang w:val="en-GB"/>
    </w:rPr>
  </w:style>
  <w:style w:type="character" w:styleId="FootnoteReference">
    <w:name w:val="footnote reference"/>
    <w:rsid w:val="004407A0"/>
    <w:rPr>
      <w:vertAlign w:val="superscript"/>
    </w:rPr>
  </w:style>
  <w:style w:type="character" w:styleId="Hyperlink">
    <w:name w:val="Hyperlink"/>
    <w:uiPriority w:val="99"/>
    <w:unhideWhenUsed/>
    <w:rsid w:val="004407A0"/>
    <w:rPr>
      <w:color w:val="0000FF"/>
      <w:u w:val="single"/>
    </w:rPr>
  </w:style>
  <w:style w:type="paragraph" w:styleId="BalloonText">
    <w:name w:val="Balloon Text"/>
    <w:basedOn w:val="Normal"/>
    <w:link w:val="BalloonTextChar"/>
    <w:uiPriority w:val="99"/>
    <w:semiHidden/>
    <w:unhideWhenUsed/>
    <w:rsid w:val="0044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A0"/>
    <w:rPr>
      <w:rFonts w:ascii="Tahoma" w:hAnsi="Tahoma" w:cs="Tahoma"/>
      <w:sz w:val="16"/>
      <w:szCs w:val="16"/>
    </w:rPr>
  </w:style>
  <w:style w:type="paragraph" w:styleId="ListParagraph">
    <w:name w:val="List Paragraph"/>
    <w:basedOn w:val="Normal"/>
    <w:link w:val="ListParagraphChar"/>
    <w:uiPriority w:val="99"/>
    <w:qFormat/>
    <w:rsid w:val="008E66C4"/>
    <w:pPr>
      <w:bidi w:val="0"/>
      <w:ind w:left="720"/>
      <w:contextualSpacing/>
    </w:pPr>
  </w:style>
  <w:style w:type="character" w:customStyle="1" w:styleId="ListParagraphChar">
    <w:name w:val="List Paragraph Char"/>
    <w:link w:val="ListParagraph"/>
    <w:uiPriority w:val="99"/>
    <w:locked/>
    <w:rsid w:val="008E66C4"/>
  </w:style>
  <w:style w:type="paragraph" w:styleId="PlainText">
    <w:name w:val="Plain Text"/>
    <w:basedOn w:val="Normal"/>
    <w:link w:val="PlainTextChar"/>
    <w:uiPriority w:val="99"/>
    <w:unhideWhenUsed/>
    <w:rsid w:val="0084293A"/>
    <w:pPr>
      <w:bidi w:val="0"/>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4293A"/>
    <w:rPr>
      <w:rFonts w:ascii="Calibri" w:hAnsi="Calibri"/>
      <w:szCs w:val="21"/>
    </w:rPr>
  </w:style>
  <w:style w:type="table" w:customStyle="1" w:styleId="TableGrid2">
    <w:name w:val="Table Grid2"/>
    <w:basedOn w:val="TableNormal"/>
    <w:next w:val="TableGrid"/>
    <w:uiPriority w:val="59"/>
    <w:rsid w:val="0051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1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B96"/>
  </w:style>
  <w:style w:type="paragraph" w:styleId="Footer">
    <w:name w:val="footer"/>
    <w:basedOn w:val="Normal"/>
    <w:link w:val="FooterChar"/>
    <w:uiPriority w:val="99"/>
    <w:unhideWhenUsed/>
    <w:rsid w:val="000A7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B96"/>
  </w:style>
  <w:style w:type="paragraph" w:customStyle="1" w:styleId="Default">
    <w:name w:val="Default"/>
    <w:rsid w:val="00D9669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37EBB"/>
    <w:rPr>
      <w:sz w:val="16"/>
      <w:szCs w:val="16"/>
    </w:rPr>
  </w:style>
  <w:style w:type="paragraph" w:styleId="CommentText">
    <w:name w:val="annotation text"/>
    <w:basedOn w:val="Normal"/>
    <w:link w:val="CommentTextChar"/>
    <w:uiPriority w:val="99"/>
    <w:semiHidden/>
    <w:unhideWhenUsed/>
    <w:rsid w:val="00937EBB"/>
    <w:pPr>
      <w:spacing w:line="240" w:lineRule="auto"/>
    </w:pPr>
    <w:rPr>
      <w:sz w:val="20"/>
      <w:szCs w:val="20"/>
    </w:rPr>
  </w:style>
  <w:style w:type="character" w:customStyle="1" w:styleId="CommentTextChar">
    <w:name w:val="Comment Text Char"/>
    <w:basedOn w:val="DefaultParagraphFont"/>
    <w:link w:val="CommentText"/>
    <w:uiPriority w:val="99"/>
    <w:semiHidden/>
    <w:rsid w:val="00937EBB"/>
    <w:rPr>
      <w:sz w:val="20"/>
      <w:szCs w:val="20"/>
    </w:rPr>
  </w:style>
  <w:style w:type="paragraph" w:styleId="CommentSubject">
    <w:name w:val="annotation subject"/>
    <w:basedOn w:val="CommentText"/>
    <w:next w:val="CommentText"/>
    <w:link w:val="CommentSubjectChar"/>
    <w:uiPriority w:val="99"/>
    <w:semiHidden/>
    <w:unhideWhenUsed/>
    <w:rsid w:val="00937EBB"/>
    <w:rPr>
      <w:b/>
      <w:bCs/>
    </w:rPr>
  </w:style>
  <w:style w:type="character" w:customStyle="1" w:styleId="CommentSubjectChar">
    <w:name w:val="Comment Subject Char"/>
    <w:basedOn w:val="CommentTextChar"/>
    <w:link w:val="CommentSubject"/>
    <w:uiPriority w:val="99"/>
    <w:semiHidden/>
    <w:rsid w:val="00937E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60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fde2-y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cli-y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lsulaimani.biz/mof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D009B-5E12-4CFC-9572-0845FDB8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mohammed</cp:lastModifiedBy>
  <cp:revision>7</cp:revision>
  <cp:lastPrinted>2015-03-22T11:10:00Z</cp:lastPrinted>
  <dcterms:created xsi:type="dcterms:W3CDTF">2015-09-04T17:32:00Z</dcterms:created>
  <dcterms:modified xsi:type="dcterms:W3CDTF">2015-09-04T19:10:00Z</dcterms:modified>
</cp:coreProperties>
</file>