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501" w:rsidRPr="00D13D4E" w:rsidRDefault="00DF6501" w:rsidP="00C77ACF">
      <w:pPr>
        <w:jc w:val="center"/>
        <w:outlineLvl w:val="0"/>
        <w:rPr>
          <w:b/>
          <w:szCs w:val="22"/>
        </w:rPr>
      </w:pPr>
      <w:bookmarkStart w:id="0" w:name="_GoBack"/>
      <w:bookmarkEnd w:id="0"/>
    </w:p>
    <w:p w:rsidR="00DF6501" w:rsidRPr="00D13D4E" w:rsidRDefault="008E020B" w:rsidP="00186CCC">
      <w:pPr>
        <w:jc w:val="center"/>
        <w:outlineLvl w:val="0"/>
        <w:rPr>
          <w:rFonts w:ascii="Calibri" w:hAnsi="Calibri"/>
          <w:b/>
          <w:sz w:val="24"/>
          <w:szCs w:val="24"/>
        </w:rPr>
      </w:pPr>
      <w:r w:rsidRPr="00D13D4E">
        <w:rPr>
          <w:rFonts w:ascii="Calibri" w:hAnsi="Calibri"/>
          <w:b/>
          <w:sz w:val="24"/>
          <w:szCs w:val="24"/>
        </w:rPr>
        <w:t>Iraq UNDAF Fund</w:t>
      </w:r>
    </w:p>
    <w:p w:rsidR="00DF6501" w:rsidRPr="00D13D4E" w:rsidRDefault="00B90AF2" w:rsidP="00C3303A">
      <w:pPr>
        <w:jc w:val="center"/>
        <w:outlineLvl w:val="0"/>
        <w:rPr>
          <w:rFonts w:ascii="Calibri" w:hAnsi="Calibri"/>
          <w:b/>
          <w:sz w:val="24"/>
          <w:szCs w:val="24"/>
        </w:rPr>
      </w:pPr>
      <w:r w:rsidRPr="00D13D4E">
        <w:rPr>
          <w:rFonts w:ascii="Calibri" w:hAnsi="Calibri"/>
          <w:b/>
          <w:sz w:val="24"/>
          <w:szCs w:val="24"/>
        </w:rPr>
        <w:t>Project #:</w:t>
      </w:r>
      <w:r w:rsidR="00C3303A" w:rsidRPr="00D13D4E">
        <w:rPr>
          <w:rFonts w:ascii="Calibri" w:hAnsi="Calibri"/>
          <w:b/>
          <w:sz w:val="24"/>
          <w:szCs w:val="24"/>
        </w:rPr>
        <w:t xml:space="preserve"> P1-05</w:t>
      </w:r>
    </w:p>
    <w:p w:rsidR="00C3303A" w:rsidRPr="00D13D4E" w:rsidRDefault="00C3303A" w:rsidP="00C3303A">
      <w:pPr>
        <w:jc w:val="center"/>
        <w:outlineLvl w:val="0"/>
        <w:rPr>
          <w:rFonts w:ascii="Calibri" w:hAnsi="Calibri"/>
          <w:b/>
          <w:sz w:val="24"/>
          <w:szCs w:val="24"/>
        </w:rPr>
      </w:pPr>
    </w:p>
    <w:p w:rsidR="00C3303A" w:rsidRPr="00D13D4E" w:rsidRDefault="00DF6501" w:rsidP="008D4142">
      <w:pPr>
        <w:jc w:val="center"/>
        <w:outlineLvl w:val="0"/>
        <w:rPr>
          <w:rFonts w:ascii="Calibri" w:hAnsi="Calibri"/>
          <w:b/>
          <w:sz w:val="24"/>
          <w:szCs w:val="24"/>
        </w:rPr>
      </w:pPr>
      <w:r w:rsidRPr="00D13D4E">
        <w:rPr>
          <w:rFonts w:ascii="Calibri" w:hAnsi="Calibri"/>
          <w:b/>
          <w:sz w:val="24"/>
          <w:szCs w:val="24"/>
        </w:rPr>
        <w:t>Date and</w:t>
      </w:r>
      <w:r w:rsidR="008A6E5B" w:rsidRPr="00D13D4E">
        <w:rPr>
          <w:rFonts w:ascii="Calibri" w:hAnsi="Calibri"/>
          <w:b/>
          <w:sz w:val="24"/>
          <w:szCs w:val="24"/>
        </w:rPr>
        <w:t xml:space="preserve"> Quarter Updated: </w:t>
      </w:r>
      <w:r w:rsidR="00C3303A" w:rsidRPr="00D13D4E">
        <w:rPr>
          <w:rFonts w:ascii="Calibri" w:hAnsi="Calibri"/>
          <w:b/>
          <w:sz w:val="24"/>
          <w:szCs w:val="24"/>
        </w:rPr>
        <w:t xml:space="preserve">1 </w:t>
      </w:r>
      <w:r w:rsidR="008D4142" w:rsidRPr="00D13D4E">
        <w:rPr>
          <w:rFonts w:ascii="Calibri" w:hAnsi="Calibri"/>
          <w:b/>
          <w:sz w:val="24"/>
          <w:szCs w:val="24"/>
        </w:rPr>
        <w:t>April</w:t>
      </w:r>
      <w:r w:rsidR="00321438" w:rsidRPr="00D13D4E">
        <w:rPr>
          <w:rFonts w:ascii="Calibri" w:hAnsi="Calibri"/>
          <w:b/>
          <w:sz w:val="24"/>
          <w:szCs w:val="24"/>
        </w:rPr>
        <w:t xml:space="preserve"> </w:t>
      </w:r>
      <w:r w:rsidR="00C3303A" w:rsidRPr="00D13D4E">
        <w:rPr>
          <w:rFonts w:ascii="Calibri" w:hAnsi="Calibri"/>
          <w:b/>
          <w:sz w:val="24"/>
          <w:szCs w:val="24"/>
        </w:rPr>
        <w:t xml:space="preserve">– </w:t>
      </w:r>
      <w:r w:rsidR="008D4142" w:rsidRPr="00D13D4E">
        <w:rPr>
          <w:rFonts w:ascii="Calibri" w:hAnsi="Calibri"/>
          <w:b/>
          <w:sz w:val="24"/>
          <w:szCs w:val="24"/>
        </w:rPr>
        <w:t xml:space="preserve">30 June </w:t>
      </w:r>
      <w:r w:rsidR="00056A78" w:rsidRPr="00D13D4E">
        <w:rPr>
          <w:rFonts w:ascii="Calibri" w:hAnsi="Calibri"/>
          <w:b/>
          <w:sz w:val="24"/>
          <w:szCs w:val="24"/>
        </w:rPr>
        <w:t>2015</w:t>
      </w:r>
    </w:p>
    <w:p w:rsidR="00B90AF2" w:rsidRPr="00D13D4E" w:rsidRDefault="00C3303A" w:rsidP="008D4142">
      <w:pPr>
        <w:jc w:val="center"/>
        <w:outlineLvl w:val="0"/>
        <w:rPr>
          <w:rFonts w:ascii="Calibri" w:hAnsi="Calibri"/>
          <w:b/>
          <w:sz w:val="24"/>
          <w:szCs w:val="24"/>
        </w:rPr>
      </w:pPr>
      <w:r w:rsidRPr="00D13D4E">
        <w:rPr>
          <w:rFonts w:ascii="Calibri" w:hAnsi="Calibri"/>
          <w:b/>
          <w:sz w:val="24"/>
          <w:szCs w:val="24"/>
        </w:rPr>
        <w:t>Q</w:t>
      </w:r>
      <w:r w:rsidR="008D4142" w:rsidRPr="00D13D4E">
        <w:rPr>
          <w:rFonts w:ascii="Calibri" w:hAnsi="Calibri"/>
          <w:b/>
          <w:sz w:val="24"/>
          <w:szCs w:val="24"/>
        </w:rPr>
        <w:t>2</w:t>
      </w:r>
      <w:r w:rsidRPr="00D13D4E">
        <w:rPr>
          <w:rFonts w:ascii="Calibri" w:hAnsi="Calibri"/>
          <w:b/>
          <w:sz w:val="24"/>
          <w:szCs w:val="24"/>
        </w:rPr>
        <w:t xml:space="preserve"> 201</w:t>
      </w:r>
      <w:r w:rsidR="00056A78" w:rsidRPr="00D13D4E">
        <w:rPr>
          <w:rFonts w:ascii="Calibri" w:hAnsi="Calibri"/>
          <w:b/>
          <w:sz w:val="24"/>
          <w:szCs w:val="24"/>
        </w:rPr>
        <w:t>5</w:t>
      </w:r>
    </w:p>
    <w:p w:rsidR="00186CCC" w:rsidRPr="00D13D4E" w:rsidRDefault="00186CCC" w:rsidP="00186CCC">
      <w:pPr>
        <w:jc w:val="center"/>
        <w:outlineLvl w:val="0"/>
        <w:rPr>
          <w:rFonts w:ascii="Calibri" w:hAnsi="Calibri"/>
          <w:b/>
          <w:sz w:val="24"/>
          <w:szCs w:val="24"/>
          <w:u w:val="single"/>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1E0" w:firstRow="1" w:lastRow="1" w:firstColumn="1" w:lastColumn="1" w:noHBand="0" w:noVBand="0"/>
      </w:tblPr>
      <w:tblGrid>
        <w:gridCol w:w="4860"/>
        <w:gridCol w:w="5220"/>
      </w:tblGrid>
      <w:tr w:rsidR="00DD16E0" w:rsidRPr="00D13D4E" w:rsidTr="00C74FD7">
        <w:trPr>
          <w:jc w:val="center"/>
        </w:trPr>
        <w:tc>
          <w:tcPr>
            <w:tcW w:w="4860" w:type="dxa"/>
            <w:shd w:val="clear" w:color="auto" w:fill="4F81BD"/>
          </w:tcPr>
          <w:p w:rsidR="00C77ACF" w:rsidRPr="00D13D4E" w:rsidRDefault="00C77ACF" w:rsidP="00C77ACF">
            <w:pPr>
              <w:rPr>
                <w:rFonts w:ascii="Calibri" w:hAnsi="Calibri"/>
                <w:szCs w:val="22"/>
                <w:lang w:val="fr-FR"/>
              </w:rPr>
            </w:pPr>
            <w:r w:rsidRPr="00D13D4E">
              <w:rPr>
                <w:rFonts w:ascii="Calibri" w:hAnsi="Calibri"/>
                <w:b/>
                <w:szCs w:val="22"/>
                <w:lang w:val="fr-FR"/>
              </w:rPr>
              <w:t>Participating UN Organisation</w:t>
            </w:r>
            <w:r w:rsidRPr="00D13D4E">
              <w:rPr>
                <w:rFonts w:ascii="Calibri" w:hAnsi="Calibri"/>
                <w:szCs w:val="22"/>
                <w:lang w:val="fr-FR"/>
              </w:rPr>
              <w:t xml:space="preserve">:  </w:t>
            </w:r>
          </w:p>
          <w:p w:rsidR="00B528D9" w:rsidRPr="00D13D4E" w:rsidRDefault="00B528D9" w:rsidP="00B528D9">
            <w:pPr>
              <w:rPr>
                <w:rFonts w:ascii="Calibri" w:hAnsi="Calibri"/>
                <w:bCs/>
                <w:szCs w:val="22"/>
                <w:lang w:val="fr-FR"/>
              </w:rPr>
            </w:pPr>
            <w:r w:rsidRPr="00D13D4E">
              <w:rPr>
                <w:rFonts w:ascii="Calibri" w:hAnsi="Calibri"/>
                <w:bCs/>
                <w:szCs w:val="22"/>
                <w:lang w:val="fr-FR"/>
              </w:rPr>
              <w:t xml:space="preserve">UNDP, UNESCO, UNESCWA, UNFPA , </w:t>
            </w:r>
          </w:p>
          <w:p w:rsidR="00186CCC" w:rsidRPr="00D13D4E" w:rsidRDefault="00B528D9" w:rsidP="00B528D9">
            <w:pPr>
              <w:rPr>
                <w:rFonts w:ascii="Calibri" w:hAnsi="Calibri"/>
                <w:bCs/>
                <w:szCs w:val="22"/>
              </w:rPr>
            </w:pPr>
            <w:r w:rsidRPr="00D13D4E">
              <w:rPr>
                <w:rFonts w:ascii="Calibri" w:hAnsi="Calibri"/>
                <w:bCs/>
                <w:szCs w:val="22"/>
              </w:rPr>
              <w:t>UN-Habitat, UNICEF, UNWOMEN, WHO.</w:t>
            </w:r>
          </w:p>
        </w:tc>
        <w:tc>
          <w:tcPr>
            <w:tcW w:w="5220" w:type="dxa"/>
            <w:shd w:val="clear" w:color="auto" w:fill="4F81BD"/>
          </w:tcPr>
          <w:p w:rsidR="00C77ACF" w:rsidRPr="00D13D4E" w:rsidRDefault="00F4127F" w:rsidP="00C77ACF">
            <w:pPr>
              <w:rPr>
                <w:rFonts w:ascii="Calibri" w:hAnsi="Calibri"/>
                <w:b/>
                <w:szCs w:val="22"/>
              </w:rPr>
            </w:pPr>
            <w:r w:rsidRPr="00D13D4E">
              <w:rPr>
                <w:rFonts w:ascii="Calibri" w:hAnsi="Calibri"/>
                <w:b/>
                <w:szCs w:val="22"/>
              </w:rPr>
              <w:t>Priority Area</w:t>
            </w:r>
            <w:r w:rsidR="00C77ACF" w:rsidRPr="00D13D4E">
              <w:rPr>
                <w:rFonts w:ascii="Calibri" w:hAnsi="Calibri"/>
                <w:b/>
                <w:szCs w:val="22"/>
              </w:rPr>
              <w:t xml:space="preserve">: </w:t>
            </w:r>
          </w:p>
          <w:p w:rsidR="00B528D9" w:rsidRPr="00D13D4E" w:rsidRDefault="00B528D9" w:rsidP="00C77ACF">
            <w:pPr>
              <w:rPr>
                <w:rFonts w:ascii="Calibri" w:hAnsi="Calibri"/>
                <w:szCs w:val="22"/>
              </w:rPr>
            </w:pPr>
            <w:r w:rsidRPr="00D13D4E">
              <w:rPr>
                <w:rFonts w:ascii="Calibri" w:hAnsi="Calibri"/>
                <w:szCs w:val="22"/>
              </w:rPr>
              <w:t>Governance and Human Rights</w:t>
            </w:r>
          </w:p>
        </w:tc>
      </w:tr>
      <w:tr w:rsidR="00DD16E0" w:rsidRPr="00D13D4E" w:rsidTr="00C74FD7">
        <w:trPr>
          <w:jc w:val="center"/>
        </w:trPr>
        <w:tc>
          <w:tcPr>
            <w:tcW w:w="10080" w:type="dxa"/>
            <w:gridSpan w:val="2"/>
            <w:shd w:val="clear" w:color="auto" w:fill="4F81BD"/>
          </w:tcPr>
          <w:p w:rsidR="00186CCC" w:rsidRPr="00D13D4E" w:rsidRDefault="00336F17" w:rsidP="00C77ACF">
            <w:pPr>
              <w:rPr>
                <w:rFonts w:ascii="Calibri" w:hAnsi="Calibri"/>
                <w:b/>
                <w:szCs w:val="22"/>
              </w:rPr>
            </w:pPr>
            <w:r w:rsidRPr="00D13D4E">
              <w:rPr>
                <w:rFonts w:ascii="Calibri" w:hAnsi="Calibri"/>
                <w:b/>
                <w:szCs w:val="22"/>
              </w:rPr>
              <w:t>Government</w:t>
            </w:r>
            <w:r w:rsidR="00C77ACF" w:rsidRPr="00D13D4E">
              <w:rPr>
                <w:rFonts w:ascii="Calibri" w:hAnsi="Calibri"/>
                <w:b/>
                <w:szCs w:val="22"/>
              </w:rPr>
              <w:t xml:space="preserve"> of Iraq </w:t>
            </w:r>
            <w:r w:rsidRPr="00D13D4E">
              <w:rPr>
                <w:rFonts w:ascii="Calibri" w:hAnsi="Calibri"/>
                <w:b/>
                <w:szCs w:val="22"/>
              </w:rPr>
              <w:t xml:space="preserve">– Responsible </w:t>
            </w:r>
            <w:r w:rsidR="00C77ACF" w:rsidRPr="00D13D4E">
              <w:rPr>
                <w:rFonts w:ascii="Calibri" w:hAnsi="Calibri"/>
                <w:b/>
                <w:szCs w:val="22"/>
              </w:rPr>
              <w:t xml:space="preserve">Line Ministry: </w:t>
            </w:r>
            <w:r w:rsidR="00C77ACF" w:rsidRPr="00D13D4E">
              <w:rPr>
                <w:rFonts w:ascii="Calibri" w:hAnsi="Calibri"/>
                <w:b/>
                <w:szCs w:val="22"/>
              </w:rPr>
              <w:tab/>
            </w:r>
          </w:p>
          <w:p w:rsidR="00C77ACF" w:rsidRPr="00D13D4E" w:rsidRDefault="00B528D9" w:rsidP="00B528D9">
            <w:pPr>
              <w:rPr>
                <w:rFonts w:ascii="Calibri" w:hAnsi="Calibri"/>
                <w:szCs w:val="22"/>
              </w:rPr>
            </w:pPr>
            <w:r w:rsidRPr="00D13D4E">
              <w:rPr>
                <w:rFonts w:ascii="Calibri" w:hAnsi="Calibri"/>
                <w:bCs/>
                <w:szCs w:val="22"/>
              </w:rPr>
              <w:t>PMAC, COMSEC, MoP, MoH, MoE, MoHESR, MMPW, MoST and MoSPA, MoF, MoSWA both in Baghdad and KRG</w:t>
            </w:r>
            <w:r w:rsidR="00C77ACF" w:rsidRPr="00D13D4E">
              <w:rPr>
                <w:rFonts w:ascii="Calibri" w:hAnsi="Calibri"/>
                <w:bCs/>
                <w:szCs w:val="22"/>
              </w:rPr>
              <w:tab/>
            </w:r>
          </w:p>
        </w:tc>
      </w:tr>
    </w:tbl>
    <w:p w:rsidR="00C77ACF" w:rsidRPr="00D13D4E" w:rsidRDefault="00C77ACF" w:rsidP="00C77ACF">
      <w:pPr>
        <w:outlineLvl w:val="0"/>
        <w:rPr>
          <w:b/>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160"/>
        <w:gridCol w:w="1350"/>
        <w:gridCol w:w="265"/>
        <w:gridCol w:w="1355"/>
        <w:gridCol w:w="1440"/>
        <w:gridCol w:w="1980"/>
      </w:tblGrid>
      <w:tr w:rsidR="00DD16E0" w:rsidRPr="00D13D4E" w:rsidTr="00C74FD7">
        <w:trPr>
          <w:jc w:val="center"/>
        </w:trPr>
        <w:tc>
          <w:tcPr>
            <w:tcW w:w="1530" w:type="dxa"/>
            <w:shd w:val="clear" w:color="auto" w:fill="auto"/>
          </w:tcPr>
          <w:p w:rsidR="00C77ACF" w:rsidRPr="00D13D4E" w:rsidRDefault="00C77ACF" w:rsidP="00C77ACF">
            <w:pPr>
              <w:rPr>
                <w:rFonts w:ascii="Calibri" w:hAnsi="Calibri"/>
                <w:b/>
                <w:szCs w:val="22"/>
              </w:rPr>
            </w:pPr>
            <w:r w:rsidRPr="00D13D4E">
              <w:rPr>
                <w:rFonts w:ascii="Calibri" w:hAnsi="Calibri"/>
                <w:b/>
                <w:szCs w:val="22"/>
              </w:rPr>
              <w:t>Title</w:t>
            </w:r>
          </w:p>
        </w:tc>
        <w:tc>
          <w:tcPr>
            <w:tcW w:w="8550" w:type="dxa"/>
            <w:gridSpan w:val="6"/>
            <w:shd w:val="clear" w:color="auto" w:fill="auto"/>
          </w:tcPr>
          <w:p w:rsidR="00C77ACF" w:rsidRPr="00D13D4E" w:rsidRDefault="00B528D9" w:rsidP="00C77ACF">
            <w:pPr>
              <w:rPr>
                <w:rFonts w:ascii="Calibri" w:hAnsi="Calibri"/>
                <w:b/>
                <w:bCs/>
                <w:szCs w:val="22"/>
              </w:rPr>
            </w:pPr>
            <w:r w:rsidRPr="00D13D4E">
              <w:rPr>
                <w:rFonts w:ascii="Calibri" w:hAnsi="Calibri"/>
                <w:b/>
                <w:bCs/>
                <w:szCs w:val="22"/>
              </w:rPr>
              <w:t xml:space="preserve">Iraq Public Sector Modernization </w:t>
            </w:r>
            <w:r w:rsidR="00C3303A" w:rsidRPr="00D13D4E">
              <w:rPr>
                <w:rFonts w:ascii="Calibri" w:hAnsi="Calibri"/>
                <w:b/>
                <w:bCs/>
                <w:szCs w:val="22"/>
              </w:rPr>
              <w:t xml:space="preserve">(IPSM) </w:t>
            </w:r>
            <w:r w:rsidRPr="00D13D4E">
              <w:rPr>
                <w:rFonts w:ascii="Calibri" w:hAnsi="Calibri"/>
                <w:b/>
                <w:bCs/>
                <w:szCs w:val="22"/>
              </w:rPr>
              <w:t>Programme</w:t>
            </w:r>
            <w:r w:rsidR="00E94D5B" w:rsidRPr="00D13D4E">
              <w:rPr>
                <w:rFonts w:ascii="Calibri" w:hAnsi="Calibri"/>
                <w:b/>
                <w:bCs/>
                <w:szCs w:val="22"/>
              </w:rPr>
              <w:t xml:space="preserve"> (Phase II)</w:t>
            </w:r>
          </w:p>
        </w:tc>
      </w:tr>
      <w:tr w:rsidR="00DD16E0" w:rsidRPr="00D13D4E" w:rsidTr="00C74FD7">
        <w:trPr>
          <w:jc w:val="center"/>
        </w:trPr>
        <w:tc>
          <w:tcPr>
            <w:tcW w:w="1530" w:type="dxa"/>
            <w:shd w:val="clear" w:color="auto" w:fill="auto"/>
          </w:tcPr>
          <w:p w:rsidR="00C77ACF" w:rsidRPr="00D13D4E" w:rsidRDefault="00180222" w:rsidP="00C77ACF">
            <w:pPr>
              <w:rPr>
                <w:rFonts w:ascii="Calibri" w:hAnsi="Calibri"/>
                <w:b/>
                <w:szCs w:val="22"/>
              </w:rPr>
            </w:pPr>
            <w:r w:rsidRPr="00D13D4E">
              <w:rPr>
                <w:rFonts w:ascii="Calibri" w:hAnsi="Calibri"/>
                <w:b/>
                <w:szCs w:val="22"/>
              </w:rPr>
              <w:t xml:space="preserve">Geographic </w:t>
            </w:r>
            <w:r w:rsidR="00C77ACF" w:rsidRPr="00D13D4E">
              <w:rPr>
                <w:rFonts w:ascii="Calibri" w:hAnsi="Calibri"/>
                <w:b/>
                <w:szCs w:val="22"/>
              </w:rPr>
              <w:t>Location</w:t>
            </w:r>
          </w:p>
        </w:tc>
        <w:tc>
          <w:tcPr>
            <w:tcW w:w="8550" w:type="dxa"/>
            <w:gridSpan w:val="6"/>
            <w:shd w:val="clear" w:color="auto" w:fill="auto"/>
          </w:tcPr>
          <w:p w:rsidR="00C77ACF" w:rsidRPr="00D13D4E" w:rsidRDefault="00B528D9" w:rsidP="00C77ACF">
            <w:pPr>
              <w:rPr>
                <w:rFonts w:ascii="Calibri" w:hAnsi="Calibri"/>
                <w:szCs w:val="22"/>
              </w:rPr>
            </w:pPr>
            <w:r w:rsidRPr="00D13D4E">
              <w:rPr>
                <w:rFonts w:ascii="Calibri" w:eastAsia="Arial Unicode MS" w:hAnsi="Calibri"/>
                <w:szCs w:val="22"/>
              </w:rPr>
              <w:t>Iraq- National Coverage</w:t>
            </w:r>
          </w:p>
        </w:tc>
      </w:tr>
      <w:tr w:rsidR="00DD16E0" w:rsidRPr="00D13D4E" w:rsidTr="00D660BA">
        <w:trPr>
          <w:jc w:val="center"/>
        </w:trPr>
        <w:tc>
          <w:tcPr>
            <w:tcW w:w="1530" w:type="dxa"/>
            <w:shd w:val="clear" w:color="auto" w:fill="auto"/>
          </w:tcPr>
          <w:p w:rsidR="003E6B2B" w:rsidRPr="00D13D4E" w:rsidRDefault="003E6B2B" w:rsidP="00C77ACF">
            <w:pPr>
              <w:rPr>
                <w:rFonts w:ascii="Calibri" w:hAnsi="Calibri"/>
                <w:b/>
                <w:szCs w:val="22"/>
              </w:rPr>
            </w:pPr>
            <w:r w:rsidRPr="00D13D4E">
              <w:rPr>
                <w:rFonts w:ascii="Calibri" w:hAnsi="Calibri"/>
                <w:b/>
                <w:szCs w:val="22"/>
              </w:rPr>
              <w:t>Project Cost</w:t>
            </w:r>
          </w:p>
        </w:tc>
        <w:tc>
          <w:tcPr>
            <w:tcW w:w="3775" w:type="dxa"/>
            <w:gridSpan w:val="3"/>
            <w:shd w:val="clear" w:color="auto" w:fill="auto"/>
          </w:tcPr>
          <w:p w:rsidR="0068342D" w:rsidRPr="00D13D4E" w:rsidRDefault="0068342D" w:rsidP="004F7A05">
            <w:pPr>
              <w:rPr>
                <w:rFonts w:ascii="Calibri" w:hAnsi="Calibri"/>
                <w:szCs w:val="22"/>
              </w:rPr>
            </w:pPr>
            <w:r w:rsidRPr="00D13D4E">
              <w:rPr>
                <w:rFonts w:ascii="Calibri" w:hAnsi="Calibri"/>
                <w:b/>
                <w:bCs/>
                <w:szCs w:val="22"/>
              </w:rPr>
              <w:t xml:space="preserve">US$ </w:t>
            </w:r>
            <w:r w:rsidR="00E11326" w:rsidRPr="00D13D4E">
              <w:rPr>
                <w:rFonts w:ascii="Calibri" w:hAnsi="Calibri"/>
                <w:b/>
                <w:bCs/>
                <w:szCs w:val="22"/>
              </w:rPr>
              <w:t>20,645,41</w:t>
            </w:r>
            <w:r w:rsidR="004F7A05" w:rsidRPr="00D13D4E">
              <w:rPr>
                <w:rFonts w:ascii="Calibri" w:hAnsi="Calibri"/>
                <w:b/>
                <w:bCs/>
                <w:szCs w:val="22"/>
              </w:rPr>
              <w:t xml:space="preserve">1 </w:t>
            </w:r>
            <w:r w:rsidRPr="00D13D4E">
              <w:rPr>
                <w:rFonts w:ascii="Calibri" w:hAnsi="Calibri"/>
                <w:szCs w:val="22"/>
              </w:rPr>
              <w:t>distributed as follows:</w:t>
            </w:r>
          </w:p>
          <w:p w:rsidR="0068342D" w:rsidRPr="00D13D4E" w:rsidRDefault="0068342D" w:rsidP="00D17B38">
            <w:pPr>
              <w:pStyle w:val="ListParagraph"/>
              <w:numPr>
                <w:ilvl w:val="0"/>
                <w:numId w:val="4"/>
              </w:numPr>
              <w:spacing w:after="0"/>
              <w:ind w:left="332" w:hanging="274"/>
            </w:pPr>
            <w:r w:rsidRPr="00D13D4E">
              <w:t xml:space="preserve">UNDP: US$ </w:t>
            </w:r>
            <w:r w:rsidR="009E009C" w:rsidRPr="00D13D4E">
              <w:t>5,413,844</w:t>
            </w:r>
          </w:p>
          <w:p w:rsidR="0068342D" w:rsidRPr="00D13D4E" w:rsidRDefault="0068342D" w:rsidP="00D17B38">
            <w:pPr>
              <w:pStyle w:val="ListParagraph"/>
              <w:numPr>
                <w:ilvl w:val="0"/>
                <w:numId w:val="4"/>
              </w:numPr>
              <w:spacing w:after="0"/>
              <w:ind w:left="332" w:hanging="274"/>
            </w:pPr>
            <w:r w:rsidRPr="00D13D4E">
              <w:t xml:space="preserve">UNESCO: US$ </w:t>
            </w:r>
            <w:r w:rsidR="00652497" w:rsidRPr="00D13D4E">
              <w:t>2,577,228</w:t>
            </w:r>
          </w:p>
          <w:p w:rsidR="0068342D" w:rsidRPr="00D13D4E" w:rsidRDefault="0068342D" w:rsidP="00D17B38">
            <w:pPr>
              <w:pStyle w:val="ListParagraph"/>
              <w:numPr>
                <w:ilvl w:val="0"/>
                <w:numId w:val="4"/>
              </w:numPr>
              <w:spacing w:after="0"/>
              <w:ind w:left="332" w:hanging="274"/>
            </w:pPr>
            <w:r w:rsidRPr="00D13D4E">
              <w:t>UNESCWA: US$ 677,608</w:t>
            </w:r>
          </w:p>
          <w:p w:rsidR="0068342D" w:rsidRPr="00D13D4E" w:rsidRDefault="0068342D" w:rsidP="00D17B38">
            <w:pPr>
              <w:pStyle w:val="ListParagraph"/>
              <w:numPr>
                <w:ilvl w:val="0"/>
                <w:numId w:val="4"/>
              </w:numPr>
              <w:spacing w:after="0"/>
              <w:ind w:left="332" w:hanging="274"/>
            </w:pPr>
            <w:r w:rsidRPr="00D13D4E">
              <w:t xml:space="preserve">UNFPA: US$ </w:t>
            </w:r>
            <w:r w:rsidR="004A2ECD" w:rsidRPr="00D13D4E">
              <w:t>2,051,094</w:t>
            </w:r>
          </w:p>
          <w:p w:rsidR="0068342D" w:rsidRPr="00D13D4E" w:rsidRDefault="0068342D" w:rsidP="00D17B38">
            <w:pPr>
              <w:pStyle w:val="ListParagraph"/>
              <w:numPr>
                <w:ilvl w:val="0"/>
                <w:numId w:val="4"/>
              </w:numPr>
              <w:spacing w:after="0"/>
              <w:ind w:left="332" w:hanging="274"/>
            </w:pPr>
            <w:r w:rsidRPr="00D13D4E">
              <w:t xml:space="preserve">UN-Habitat: US$ </w:t>
            </w:r>
            <w:r w:rsidR="001213AB" w:rsidRPr="00D13D4E">
              <w:t>2,263,945</w:t>
            </w:r>
          </w:p>
          <w:p w:rsidR="008F20D4" w:rsidRPr="00D13D4E" w:rsidRDefault="0068342D" w:rsidP="00D17B38">
            <w:pPr>
              <w:pStyle w:val="ListParagraph"/>
              <w:numPr>
                <w:ilvl w:val="0"/>
                <w:numId w:val="4"/>
              </w:numPr>
              <w:spacing w:after="0"/>
              <w:ind w:left="332" w:hanging="274"/>
            </w:pPr>
            <w:r w:rsidRPr="00D13D4E">
              <w:t xml:space="preserve">UNICEF: US$ </w:t>
            </w:r>
            <w:r w:rsidR="007E6BDE" w:rsidRPr="00D13D4E">
              <w:t>3,367,947</w:t>
            </w:r>
          </w:p>
          <w:p w:rsidR="008F20D4" w:rsidRPr="00D13D4E" w:rsidRDefault="0068342D" w:rsidP="00D17B38">
            <w:pPr>
              <w:pStyle w:val="ListParagraph"/>
              <w:numPr>
                <w:ilvl w:val="0"/>
                <w:numId w:val="4"/>
              </w:numPr>
              <w:spacing w:after="0"/>
              <w:ind w:left="332" w:hanging="274"/>
            </w:pPr>
            <w:r w:rsidRPr="00D13D4E">
              <w:t xml:space="preserve">UNWOMEN: US$ </w:t>
            </w:r>
            <w:r w:rsidR="008F20D4" w:rsidRPr="00D13D4E">
              <w:t xml:space="preserve">1,241,932 </w:t>
            </w:r>
          </w:p>
          <w:p w:rsidR="003E6B2B" w:rsidRPr="00D13D4E" w:rsidRDefault="0068342D" w:rsidP="00D17B38">
            <w:pPr>
              <w:pStyle w:val="ListParagraph"/>
              <w:numPr>
                <w:ilvl w:val="0"/>
                <w:numId w:val="4"/>
              </w:numPr>
              <w:spacing w:after="0"/>
              <w:ind w:left="332" w:hanging="274"/>
            </w:pPr>
            <w:r w:rsidRPr="00D13D4E">
              <w:t xml:space="preserve">WHO: US$ </w:t>
            </w:r>
            <w:r w:rsidR="002D33A9" w:rsidRPr="00D13D4E">
              <w:t>3,051,812</w:t>
            </w:r>
          </w:p>
        </w:tc>
        <w:tc>
          <w:tcPr>
            <w:tcW w:w="4775" w:type="dxa"/>
            <w:gridSpan w:val="3"/>
            <w:shd w:val="clear" w:color="auto" w:fill="auto"/>
          </w:tcPr>
          <w:p w:rsidR="00D660BA" w:rsidRPr="00D13D4E" w:rsidRDefault="00D660BA" w:rsidP="00D660BA">
            <w:pPr>
              <w:rPr>
                <w:rFonts w:ascii="Calibri" w:hAnsi="Calibri"/>
                <w:szCs w:val="22"/>
              </w:rPr>
            </w:pPr>
            <w:r w:rsidRPr="00D13D4E">
              <w:rPr>
                <w:rFonts w:ascii="Calibri" w:hAnsi="Calibri"/>
                <w:b/>
                <w:bCs/>
                <w:szCs w:val="22"/>
              </w:rPr>
              <w:t xml:space="preserve">US$ 20,645,411 </w:t>
            </w:r>
            <w:r w:rsidRPr="00D13D4E">
              <w:rPr>
                <w:rFonts w:ascii="Calibri" w:hAnsi="Calibri"/>
                <w:szCs w:val="22"/>
              </w:rPr>
              <w:t>distributed as follows:</w:t>
            </w:r>
          </w:p>
          <w:p w:rsidR="00D660BA" w:rsidRPr="00D13D4E" w:rsidRDefault="00D660BA" w:rsidP="00D17B38">
            <w:pPr>
              <w:pStyle w:val="ListParagraph"/>
              <w:numPr>
                <w:ilvl w:val="0"/>
                <w:numId w:val="4"/>
              </w:numPr>
              <w:spacing w:after="0"/>
              <w:ind w:left="332" w:hanging="274"/>
            </w:pPr>
            <w:r w:rsidRPr="00D13D4E">
              <w:t>UNDP: US$ 5,413,844</w:t>
            </w:r>
          </w:p>
          <w:p w:rsidR="00D660BA" w:rsidRPr="00D13D4E" w:rsidRDefault="00D660BA" w:rsidP="00D17B38">
            <w:pPr>
              <w:pStyle w:val="ListParagraph"/>
              <w:numPr>
                <w:ilvl w:val="0"/>
                <w:numId w:val="4"/>
              </w:numPr>
              <w:spacing w:after="0"/>
              <w:ind w:left="332" w:hanging="274"/>
            </w:pPr>
            <w:r w:rsidRPr="00D13D4E">
              <w:t>UNESCO: US$ 2,577,228</w:t>
            </w:r>
          </w:p>
          <w:p w:rsidR="00D660BA" w:rsidRPr="00D13D4E" w:rsidRDefault="00D660BA" w:rsidP="00D17B38">
            <w:pPr>
              <w:pStyle w:val="ListParagraph"/>
              <w:numPr>
                <w:ilvl w:val="0"/>
                <w:numId w:val="4"/>
              </w:numPr>
              <w:spacing w:after="0"/>
              <w:ind w:left="332" w:hanging="274"/>
            </w:pPr>
            <w:r w:rsidRPr="00D13D4E">
              <w:t>UNESCWA: US$ 677,608</w:t>
            </w:r>
          </w:p>
          <w:p w:rsidR="00D660BA" w:rsidRPr="00D13D4E" w:rsidRDefault="00D660BA" w:rsidP="00D17B38">
            <w:pPr>
              <w:pStyle w:val="ListParagraph"/>
              <w:numPr>
                <w:ilvl w:val="0"/>
                <w:numId w:val="4"/>
              </w:numPr>
              <w:spacing w:after="0"/>
              <w:ind w:left="332" w:hanging="274"/>
            </w:pPr>
            <w:r w:rsidRPr="00D13D4E">
              <w:t>UNFPA: US$ 2,051,094</w:t>
            </w:r>
          </w:p>
          <w:p w:rsidR="00D660BA" w:rsidRPr="00D13D4E" w:rsidRDefault="00D660BA" w:rsidP="00D17B38">
            <w:pPr>
              <w:pStyle w:val="ListParagraph"/>
              <w:numPr>
                <w:ilvl w:val="0"/>
                <w:numId w:val="4"/>
              </w:numPr>
              <w:spacing w:after="0"/>
              <w:ind w:left="332" w:hanging="274"/>
            </w:pPr>
            <w:r w:rsidRPr="00D13D4E">
              <w:t>UN-Habitat: US$ 2,263,945</w:t>
            </w:r>
          </w:p>
          <w:p w:rsidR="00D660BA" w:rsidRPr="00D13D4E" w:rsidRDefault="00D660BA" w:rsidP="00D17B38">
            <w:pPr>
              <w:pStyle w:val="ListParagraph"/>
              <w:numPr>
                <w:ilvl w:val="0"/>
                <w:numId w:val="4"/>
              </w:numPr>
              <w:spacing w:after="0"/>
              <w:ind w:left="332" w:hanging="274"/>
            </w:pPr>
            <w:r w:rsidRPr="00D13D4E">
              <w:t>UNICEF: US$ 3,367,947</w:t>
            </w:r>
          </w:p>
          <w:p w:rsidR="00D660BA" w:rsidRPr="00D13D4E" w:rsidRDefault="00D660BA" w:rsidP="00D17B38">
            <w:pPr>
              <w:pStyle w:val="ListParagraph"/>
              <w:numPr>
                <w:ilvl w:val="0"/>
                <w:numId w:val="4"/>
              </w:numPr>
              <w:spacing w:after="0"/>
              <w:ind w:left="332" w:hanging="274"/>
            </w:pPr>
            <w:r w:rsidRPr="00D13D4E">
              <w:t xml:space="preserve">UNWOMEN: US$ 1,241,932 </w:t>
            </w:r>
          </w:p>
          <w:p w:rsidR="003E6B2B" w:rsidRPr="00D13D4E" w:rsidRDefault="00D660BA" w:rsidP="00D17B38">
            <w:pPr>
              <w:pStyle w:val="ListParagraph"/>
              <w:numPr>
                <w:ilvl w:val="0"/>
                <w:numId w:val="4"/>
              </w:numPr>
              <w:snapToGrid w:val="0"/>
              <w:spacing w:after="0"/>
              <w:ind w:left="332" w:hanging="274"/>
            </w:pPr>
            <w:r w:rsidRPr="00D13D4E">
              <w:t>WHO: US$ 3,051,812</w:t>
            </w:r>
          </w:p>
        </w:tc>
      </w:tr>
      <w:tr w:rsidR="00DD16E0" w:rsidRPr="00D13D4E" w:rsidTr="00C74FD7">
        <w:trPr>
          <w:jc w:val="center"/>
        </w:trPr>
        <w:tc>
          <w:tcPr>
            <w:tcW w:w="1530" w:type="dxa"/>
            <w:shd w:val="clear" w:color="auto" w:fill="auto"/>
          </w:tcPr>
          <w:p w:rsidR="008C5985" w:rsidRPr="00D13D4E" w:rsidRDefault="008C5985" w:rsidP="00C77ACF">
            <w:pPr>
              <w:rPr>
                <w:rFonts w:ascii="Calibri" w:hAnsi="Calibri"/>
                <w:b/>
                <w:szCs w:val="22"/>
              </w:rPr>
            </w:pPr>
            <w:r w:rsidRPr="00D13D4E">
              <w:rPr>
                <w:rFonts w:ascii="Calibri" w:hAnsi="Calibri"/>
                <w:b/>
                <w:szCs w:val="22"/>
              </w:rPr>
              <w:t>Duration</w:t>
            </w:r>
          </w:p>
        </w:tc>
        <w:tc>
          <w:tcPr>
            <w:tcW w:w="8550" w:type="dxa"/>
            <w:gridSpan w:val="6"/>
            <w:shd w:val="clear" w:color="auto" w:fill="auto"/>
          </w:tcPr>
          <w:p w:rsidR="008C5985" w:rsidRPr="00D13D4E" w:rsidRDefault="008C5985" w:rsidP="00C77ACF">
            <w:pPr>
              <w:rPr>
                <w:rFonts w:ascii="Calibri" w:hAnsi="Calibri"/>
                <w:szCs w:val="22"/>
              </w:rPr>
            </w:pPr>
            <w:r w:rsidRPr="00D13D4E">
              <w:rPr>
                <w:rFonts w:ascii="Calibri" w:hAnsi="Calibri"/>
                <w:szCs w:val="22"/>
              </w:rPr>
              <w:t>24 Months</w:t>
            </w:r>
          </w:p>
        </w:tc>
      </w:tr>
      <w:tr w:rsidR="00DD16E0" w:rsidRPr="00D13D4E" w:rsidTr="00C74FD7">
        <w:trPr>
          <w:jc w:val="center"/>
        </w:trPr>
        <w:tc>
          <w:tcPr>
            <w:tcW w:w="1530" w:type="dxa"/>
            <w:shd w:val="clear" w:color="auto" w:fill="auto"/>
          </w:tcPr>
          <w:p w:rsidR="008C5985" w:rsidRPr="00D13D4E" w:rsidRDefault="008C5985" w:rsidP="00C77ACF">
            <w:pPr>
              <w:rPr>
                <w:rFonts w:ascii="Calibri" w:hAnsi="Calibri"/>
                <w:b/>
                <w:szCs w:val="22"/>
              </w:rPr>
            </w:pPr>
            <w:r w:rsidRPr="00D13D4E">
              <w:rPr>
                <w:rFonts w:ascii="Calibri" w:hAnsi="Calibri"/>
                <w:b/>
                <w:szCs w:val="22"/>
              </w:rPr>
              <w:t>Approval  Date (SC)</w:t>
            </w:r>
          </w:p>
        </w:tc>
        <w:tc>
          <w:tcPr>
            <w:tcW w:w="2160" w:type="dxa"/>
            <w:shd w:val="clear" w:color="auto" w:fill="auto"/>
          </w:tcPr>
          <w:p w:rsidR="008C5985" w:rsidRPr="00D13D4E" w:rsidRDefault="008C5985" w:rsidP="00C77ACF">
            <w:pPr>
              <w:rPr>
                <w:rFonts w:ascii="Calibri" w:hAnsi="Calibri"/>
                <w:szCs w:val="22"/>
              </w:rPr>
            </w:pPr>
            <w:r w:rsidRPr="00D13D4E">
              <w:rPr>
                <w:rFonts w:ascii="Calibri" w:hAnsi="Calibri"/>
                <w:szCs w:val="22"/>
              </w:rPr>
              <w:t>7 Oct 2012</w:t>
            </w:r>
          </w:p>
        </w:tc>
        <w:tc>
          <w:tcPr>
            <w:tcW w:w="1350" w:type="dxa"/>
            <w:shd w:val="clear" w:color="auto" w:fill="auto"/>
          </w:tcPr>
          <w:p w:rsidR="008C5985" w:rsidRPr="00D13D4E" w:rsidRDefault="008C5985" w:rsidP="00C77ACF">
            <w:pPr>
              <w:rPr>
                <w:rFonts w:ascii="Calibri" w:hAnsi="Calibri"/>
                <w:b/>
                <w:szCs w:val="22"/>
              </w:rPr>
            </w:pPr>
            <w:r w:rsidRPr="00D13D4E">
              <w:rPr>
                <w:rFonts w:ascii="Calibri" w:hAnsi="Calibri"/>
                <w:b/>
                <w:szCs w:val="22"/>
              </w:rPr>
              <w:t>Starting Date</w:t>
            </w:r>
          </w:p>
        </w:tc>
        <w:tc>
          <w:tcPr>
            <w:tcW w:w="1620" w:type="dxa"/>
            <w:gridSpan w:val="2"/>
          </w:tcPr>
          <w:p w:rsidR="008C5985" w:rsidRPr="00D13D4E" w:rsidRDefault="008C5985" w:rsidP="00C77ACF">
            <w:pPr>
              <w:rPr>
                <w:rFonts w:ascii="Calibri" w:hAnsi="Calibri"/>
                <w:bCs/>
                <w:szCs w:val="22"/>
              </w:rPr>
            </w:pPr>
            <w:r w:rsidRPr="00D13D4E">
              <w:rPr>
                <w:rFonts w:ascii="Calibri" w:hAnsi="Calibri"/>
                <w:bCs/>
                <w:szCs w:val="22"/>
              </w:rPr>
              <w:t>1 Jan 2013</w:t>
            </w:r>
          </w:p>
        </w:tc>
        <w:tc>
          <w:tcPr>
            <w:tcW w:w="1440" w:type="dxa"/>
          </w:tcPr>
          <w:p w:rsidR="008C5985" w:rsidRPr="00D13D4E" w:rsidRDefault="008C5985" w:rsidP="00C77ACF">
            <w:pPr>
              <w:rPr>
                <w:rFonts w:ascii="Calibri" w:hAnsi="Calibri"/>
                <w:b/>
                <w:szCs w:val="22"/>
              </w:rPr>
            </w:pPr>
            <w:r w:rsidRPr="00D13D4E">
              <w:rPr>
                <w:rFonts w:ascii="Calibri" w:hAnsi="Calibri"/>
                <w:b/>
                <w:szCs w:val="22"/>
              </w:rPr>
              <w:t xml:space="preserve">Completion Date   </w:t>
            </w:r>
          </w:p>
        </w:tc>
        <w:tc>
          <w:tcPr>
            <w:tcW w:w="1980" w:type="dxa"/>
            <w:shd w:val="clear" w:color="auto" w:fill="auto"/>
          </w:tcPr>
          <w:p w:rsidR="008C5985" w:rsidRPr="00D13D4E" w:rsidRDefault="008C5985" w:rsidP="003F6242">
            <w:pPr>
              <w:rPr>
                <w:rFonts w:ascii="Calibri" w:hAnsi="Calibri"/>
                <w:bCs/>
                <w:szCs w:val="22"/>
              </w:rPr>
            </w:pPr>
            <w:r w:rsidRPr="00D13D4E">
              <w:rPr>
                <w:rFonts w:ascii="Calibri" w:hAnsi="Calibri"/>
                <w:szCs w:val="22"/>
              </w:rPr>
              <w:t>31 Dec 201</w:t>
            </w:r>
            <w:r w:rsidR="003F6242">
              <w:rPr>
                <w:rFonts w:ascii="Calibri" w:hAnsi="Calibri"/>
                <w:szCs w:val="22"/>
              </w:rPr>
              <w:t>6</w:t>
            </w:r>
          </w:p>
        </w:tc>
      </w:tr>
      <w:tr w:rsidR="00DD16E0" w:rsidRPr="00D13D4E" w:rsidTr="00C74FD7">
        <w:trPr>
          <w:jc w:val="center"/>
        </w:trPr>
        <w:tc>
          <w:tcPr>
            <w:tcW w:w="1530" w:type="dxa"/>
            <w:shd w:val="clear" w:color="auto" w:fill="auto"/>
          </w:tcPr>
          <w:p w:rsidR="008C5985" w:rsidRPr="00D13D4E" w:rsidRDefault="008C5985" w:rsidP="00C77ACF">
            <w:pPr>
              <w:rPr>
                <w:rFonts w:ascii="Calibri" w:hAnsi="Calibri"/>
                <w:b/>
                <w:szCs w:val="22"/>
              </w:rPr>
            </w:pPr>
            <w:r w:rsidRPr="00D13D4E">
              <w:rPr>
                <w:rFonts w:ascii="Calibri" w:hAnsi="Calibri"/>
                <w:b/>
                <w:szCs w:val="22"/>
              </w:rPr>
              <w:t>Project Description</w:t>
            </w:r>
          </w:p>
        </w:tc>
        <w:tc>
          <w:tcPr>
            <w:tcW w:w="8550" w:type="dxa"/>
            <w:gridSpan w:val="6"/>
            <w:shd w:val="clear" w:color="auto" w:fill="auto"/>
          </w:tcPr>
          <w:p w:rsidR="008C5985" w:rsidRPr="00D13D4E" w:rsidRDefault="008C5985" w:rsidP="004A5704">
            <w:pPr>
              <w:pStyle w:val="NoSpacing"/>
              <w:suppressAutoHyphens/>
              <w:spacing w:before="120"/>
              <w:jc w:val="both"/>
              <w:rPr>
                <w:rFonts w:ascii="Calibri" w:hAnsi="Calibri"/>
                <w:szCs w:val="22"/>
                <w:lang w:val="en-GB" w:eastAsia="en-IN" w:bidi="hi-IN"/>
              </w:rPr>
            </w:pPr>
            <w:r w:rsidRPr="00D13D4E">
              <w:rPr>
                <w:rFonts w:ascii="Calibri" w:hAnsi="Calibri"/>
                <w:szCs w:val="22"/>
                <w:lang w:val="en-GB" w:eastAsia="en-IN" w:bidi="hi-IN"/>
              </w:rPr>
              <w:t xml:space="preserve">The Iraq – Public Sector Modernisation (I-PSM) programme is a Government of Iraq-led UN joint programme supporting </w:t>
            </w:r>
            <w:r w:rsidRPr="00D13D4E">
              <w:rPr>
                <w:rFonts w:ascii="Calibri" w:hAnsi="Calibri"/>
                <w:szCs w:val="22"/>
                <w:lang w:val="en-GB"/>
              </w:rPr>
              <w:t>Iraq’s Strategic Government Plan (SGP) 2011-14</w:t>
            </w:r>
            <w:r w:rsidRPr="00D13D4E">
              <w:rPr>
                <w:rFonts w:ascii="Calibri" w:hAnsi="Calibri"/>
                <w:szCs w:val="22"/>
                <w:lang w:val="en-GB" w:eastAsia="en-IN" w:bidi="hi-IN"/>
              </w:rPr>
              <w:t xml:space="preserve"> and its National Development Plan (NDP) 2010-2014. The programme is also fully aligned with the UN Development Assistance Framework (UNDAF) 2011-2014.   Phase </w:t>
            </w:r>
            <w:r w:rsidR="00E94D5B" w:rsidRPr="00D13D4E">
              <w:rPr>
                <w:rFonts w:ascii="Calibri" w:hAnsi="Calibri"/>
                <w:szCs w:val="22"/>
                <w:lang w:val="en-GB" w:eastAsia="en-IN" w:bidi="hi-IN"/>
              </w:rPr>
              <w:t xml:space="preserve">II </w:t>
            </w:r>
            <w:r w:rsidRPr="00D13D4E">
              <w:rPr>
                <w:rFonts w:ascii="Calibri" w:hAnsi="Calibri"/>
                <w:szCs w:val="22"/>
                <w:lang w:val="en-GB" w:eastAsia="en-IN" w:bidi="hi-IN"/>
              </w:rPr>
              <w:t xml:space="preserve">of the programme builds on lessons learned and recommendations emerging from the implementation and external evaluation of Phase I, but also on the conclusions and outcomes of the inception consultations performed, which fine-tuned and reaffirmed strategic interventions for Phase II. </w:t>
            </w:r>
          </w:p>
          <w:p w:rsidR="008C5985" w:rsidRPr="00D13D4E" w:rsidRDefault="008C5985" w:rsidP="004A5704">
            <w:pPr>
              <w:pStyle w:val="NoSpacing"/>
              <w:suppressAutoHyphens/>
              <w:spacing w:before="120"/>
              <w:jc w:val="both"/>
              <w:rPr>
                <w:rFonts w:ascii="Calibri" w:hAnsi="Calibri"/>
                <w:szCs w:val="22"/>
                <w:lang w:val="en-GB" w:eastAsia="en-IN" w:bidi="hi-IN"/>
              </w:rPr>
            </w:pPr>
            <w:r w:rsidRPr="00D13D4E">
              <w:rPr>
                <w:rFonts w:ascii="Calibri" w:hAnsi="Calibri"/>
                <w:szCs w:val="22"/>
                <w:lang w:val="en-GB" w:eastAsia="en-IN" w:bidi="hi-IN"/>
              </w:rPr>
              <w:t>The Programme focuses on four developmental themes: i) Developing policy and building machinery at the centre of government for managing Public Sector Modernisation (PSM); ii) Supporting system-wide reform for development management, gender mainstreaming, e</w:t>
            </w:r>
            <w:r w:rsidRPr="00D13D4E">
              <w:rPr>
                <w:rFonts w:ascii="Calibri" w:hAnsi="Calibri"/>
                <w:szCs w:val="22"/>
                <w:lang w:val="en-GB" w:eastAsia="en-IN" w:bidi="hi-IN"/>
              </w:rPr>
              <w:noBreakHyphen/>
              <w:t>governance and national statistics; iii) Piloting reform in the three key sectors of health, education and water and sanitation (Watsan); and iv) Supporting decentralised service delivery and local governance initiatives.</w:t>
            </w:r>
          </w:p>
          <w:p w:rsidR="008C5985" w:rsidRPr="00D13D4E" w:rsidRDefault="008C5985" w:rsidP="00E94D5B">
            <w:pPr>
              <w:widowControl/>
              <w:autoSpaceDE w:val="0"/>
              <w:autoSpaceDN w:val="0"/>
              <w:adjustRightInd w:val="0"/>
              <w:spacing w:before="120"/>
              <w:jc w:val="both"/>
              <w:rPr>
                <w:rFonts w:ascii="Calibri" w:hAnsi="Calibri"/>
                <w:szCs w:val="22"/>
                <w:lang w:eastAsia="en-IN" w:bidi="hi-IN"/>
              </w:rPr>
            </w:pPr>
            <w:r w:rsidRPr="00D13D4E">
              <w:rPr>
                <w:rFonts w:ascii="Calibri" w:hAnsi="Calibri"/>
                <w:szCs w:val="22"/>
                <w:lang w:eastAsia="en-IN" w:bidi="hi-IN"/>
              </w:rPr>
              <w:lastRenderedPageBreak/>
              <w:t xml:space="preserve">By promoting and working on enhancing service delivery, the Government of Iraq will demonstrate to the Iraqi people that public sector modernization has concrete and tangible benefits for the population as a whole.  </w:t>
            </w:r>
            <w:r w:rsidRPr="00D13D4E">
              <w:rPr>
                <w:rFonts w:ascii="Calibri" w:eastAsia="Arial Unicode MS" w:hAnsi="Calibri"/>
                <w:szCs w:val="22"/>
              </w:rPr>
              <w:t xml:space="preserve">The programme will establish synergies with existing UN and other donors programming aimed at addressing corruption, decentralization and participation, and will fully integrate cross-cutting issues in relation to poverty, gender, social exclusion and environment.  </w:t>
            </w:r>
            <w:r w:rsidRPr="00D13D4E">
              <w:rPr>
                <w:rFonts w:ascii="Calibri" w:hAnsi="Calibri"/>
                <w:szCs w:val="22"/>
                <w:lang w:eastAsia="en-IN" w:bidi="hi-IN"/>
              </w:rPr>
              <w:t>The programme will be led by the GoI through its National PSM Steering Committee (NPSMSC), which provides overall strategic direction for PSM policy and coordination with particular attention to the development of the GoI’s PSM vision and strategy.  Three sector Ministerial Advisory Committees (Health, Education and WATSAN) will assist the PSMSC in guiding sectoral reforms in the concerned ministries and agencies.  The KRG will establish a Regional PSMC to take forward the work in Kurdistan Region in conjunction with the national initiative.</w:t>
            </w:r>
          </w:p>
        </w:tc>
      </w:tr>
    </w:tbl>
    <w:p w:rsidR="00B528D9" w:rsidRPr="00D13D4E" w:rsidRDefault="00B528D9" w:rsidP="00C77ACF">
      <w:pPr>
        <w:rPr>
          <w:szCs w:val="22"/>
        </w:rPr>
      </w:pPr>
    </w:p>
    <w:tbl>
      <w:tblPr>
        <w:tblW w:w="10080" w:type="dxa"/>
        <w:jc w:val="center"/>
        <w:tblLook w:val="01E0" w:firstRow="1" w:lastRow="1" w:firstColumn="1" w:lastColumn="1" w:noHBand="0" w:noVBand="0"/>
      </w:tblPr>
      <w:tblGrid>
        <w:gridCol w:w="10080"/>
      </w:tblGrid>
      <w:tr w:rsidR="00DD16E0" w:rsidRPr="00D13D4E" w:rsidTr="00C74FD7">
        <w:trPr>
          <w:trHeight w:val="368"/>
          <w:jc w:val="center"/>
        </w:trPr>
        <w:tc>
          <w:tcPr>
            <w:tcW w:w="10080" w:type="dxa"/>
            <w:tcBorders>
              <w:top w:val="single" w:sz="4" w:space="0" w:color="auto"/>
              <w:left w:val="single" w:sz="4" w:space="0" w:color="auto"/>
              <w:bottom w:val="single" w:sz="4" w:space="0" w:color="auto"/>
              <w:right w:val="single" w:sz="4" w:space="0" w:color="auto"/>
            </w:tcBorders>
            <w:shd w:val="clear" w:color="auto" w:fill="D9D9D9"/>
          </w:tcPr>
          <w:p w:rsidR="00BC7C38" w:rsidRPr="00D13D4E" w:rsidRDefault="00BC7C38" w:rsidP="00BC7C38">
            <w:pPr>
              <w:outlineLvl w:val="0"/>
              <w:rPr>
                <w:rFonts w:asciiTheme="minorHAnsi" w:hAnsiTheme="minorHAnsi"/>
                <w:szCs w:val="22"/>
              </w:rPr>
            </w:pPr>
            <w:r w:rsidRPr="00D13D4E">
              <w:rPr>
                <w:rFonts w:asciiTheme="minorHAnsi" w:hAnsiTheme="minorHAnsi"/>
                <w:b/>
                <w:szCs w:val="22"/>
              </w:rPr>
              <w:t>Development Goal and Immediate Objectives</w:t>
            </w:r>
          </w:p>
        </w:tc>
      </w:tr>
      <w:tr w:rsidR="00DD16E0" w:rsidRPr="00D13D4E" w:rsidTr="00C74FD7">
        <w:trPr>
          <w:trHeight w:val="1403"/>
          <w:jc w:val="center"/>
        </w:trPr>
        <w:tc>
          <w:tcPr>
            <w:tcW w:w="10080" w:type="dxa"/>
            <w:tcBorders>
              <w:top w:val="single" w:sz="4" w:space="0" w:color="auto"/>
              <w:left w:val="single" w:sz="4" w:space="0" w:color="auto"/>
              <w:bottom w:val="single" w:sz="4" w:space="0" w:color="auto"/>
              <w:right w:val="single" w:sz="4" w:space="0" w:color="auto"/>
            </w:tcBorders>
          </w:tcPr>
          <w:p w:rsidR="00C77ACF" w:rsidRPr="00D13D4E" w:rsidRDefault="00033E90" w:rsidP="004A5704">
            <w:pPr>
              <w:widowControl/>
              <w:autoSpaceDE w:val="0"/>
              <w:autoSpaceDN w:val="0"/>
              <w:adjustRightInd w:val="0"/>
              <w:spacing w:before="120"/>
              <w:jc w:val="both"/>
              <w:rPr>
                <w:rFonts w:asciiTheme="minorHAnsi" w:hAnsiTheme="minorHAnsi"/>
                <w:szCs w:val="22"/>
                <w:lang w:eastAsia="en-IN" w:bidi="hi-IN"/>
              </w:rPr>
            </w:pPr>
            <w:r w:rsidRPr="00D13D4E">
              <w:rPr>
                <w:rFonts w:asciiTheme="minorHAnsi" w:hAnsiTheme="minorHAnsi"/>
                <w:szCs w:val="22"/>
                <w:lang w:eastAsia="en-IN" w:bidi="hi-IN"/>
              </w:rPr>
              <w:t xml:space="preserve">Prior to featuring Programme specific Goal and Objectives, it is important to note that the IPSM programme will </w:t>
            </w:r>
            <w:r w:rsidR="00D95E9E" w:rsidRPr="00D13D4E">
              <w:rPr>
                <w:rFonts w:asciiTheme="minorHAnsi" w:hAnsiTheme="minorHAnsi"/>
                <w:szCs w:val="22"/>
                <w:lang w:eastAsia="en-IN" w:bidi="hi-IN"/>
              </w:rPr>
              <w:t xml:space="preserve">directly contribute to the achievement of Outcome 2 under </w:t>
            </w:r>
            <w:r w:rsidR="00981624" w:rsidRPr="00D13D4E">
              <w:rPr>
                <w:rFonts w:asciiTheme="minorHAnsi" w:hAnsiTheme="minorHAnsi"/>
                <w:szCs w:val="22"/>
                <w:lang w:eastAsia="en-IN" w:bidi="hi-IN"/>
              </w:rPr>
              <w:t xml:space="preserve">UNDAF </w:t>
            </w:r>
            <w:r w:rsidRPr="00D13D4E">
              <w:rPr>
                <w:rFonts w:asciiTheme="minorHAnsi" w:hAnsiTheme="minorHAnsi"/>
                <w:szCs w:val="22"/>
                <w:lang w:eastAsia="en-IN" w:bidi="hi-IN"/>
              </w:rPr>
              <w:t>Priority Area 1: Improved governance, inclu</w:t>
            </w:r>
            <w:r w:rsidR="00D95E9E" w:rsidRPr="00D13D4E">
              <w:rPr>
                <w:rFonts w:asciiTheme="minorHAnsi" w:hAnsiTheme="minorHAnsi"/>
                <w:szCs w:val="22"/>
                <w:lang w:eastAsia="en-IN" w:bidi="hi-IN"/>
              </w:rPr>
              <w:t>ding protection of human rights, but also will i</w:t>
            </w:r>
            <w:r w:rsidRPr="00D13D4E">
              <w:rPr>
                <w:rFonts w:asciiTheme="minorHAnsi" w:hAnsiTheme="minorHAnsi"/>
                <w:szCs w:val="22"/>
                <w:lang w:eastAsia="en-IN" w:bidi="hi-IN"/>
              </w:rPr>
              <w:t xml:space="preserve">ndirectly </w:t>
            </w:r>
            <w:r w:rsidR="00D95E9E" w:rsidRPr="00D13D4E">
              <w:rPr>
                <w:rFonts w:asciiTheme="minorHAnsi" w:hAnsiTheme="minorHAnsi"/>
                <w:szCs w:val="22"/>
                <w:lang w:eastAsia="en-IN" w:bidi="hi-IN"/>
              </w:rPr>
              <w:t xml:space="preserve">contribute </w:t>
            </w:r>
            <w:r w:rsidRPr="00D13D4E">
              <w:rPr>
                <w:rFonts w:asciiTheme="minorHAnsi" w:hAnsiTheme="minorHAnsi"/>
                <w:szCs w:val="22"/>
                <w:lang w:eastAsia="en-IN" w:bidi="hi-IN"/>
              </w:rPr>
              <w:t xml:space="preserve">to </w:t>
            </w:r>
            <w:r w:rsidR="00D95E9E" w:rsidRPr="00D13D4E">
              <w:rPr>
                <w:rFonts w:asciiTheme="minorHAnsi" w:hAnsiTheme="minorHAnsi"/>
                <w:szCs w:val="22"/>
                <w:lang w:eastAsia="en-IN" w:bidi="hi-IN"/>
              </w:rPr>
              <w:t xml:space="preserve">the fulfilment of </w:t>
            </w:r>
            <w:r w:rsidRPr="00D13D4E">
              <w:rPr>
                <w:rFonts w:asciiTheme="minorHAnsi" w:hAnsiTheme="minorHAnsi"/>
                <w:szCs w:val="22"/>
                <w:lang w:eastAsia="en-IN" w:bidi="hi-IN"/>
              </w:rPr>
              <w:t xml:space="preserve">UNDAF Priority Area 2 - Inclusive, more equitable and sustainable economic growth, and </w:t>
            </w:r>
            <w:r w:rsidR="00D95E9E" w:rsidRPr="00D13D4E">
              <w:rPr>
                <w:rFonts w:asciiTheme="minorHAnsi" w:hAnsiTheme="minorHAnsi"/>
                <w:szCs w:val="22"/>
                <w:lang w:eastAsia="en-IN" w:bidi="hi-IN"/>
              </w:rPr>
              <w:t xml:space="preserve">of </w:t>
            </w:r>
            <w:r w:rsidRPr="00D13D4E">
              <w:rPr>
                <w:rFonts w:asciiTheme="minorHAnsi" w:hAnsiTheme="minorHAnsi"/>
                <w:szCs w:val="22"/>
                <w:lang w:eastAsia="en-IN" w:bidi="hi-IN"/>
              </w:rPr>
              <w:t>UNDAF Priority Area</w:t>
            </w:r>
            <w:r w:rsidR="00F43FAD" w:rsidRPr="00D13D4E">
              <w:rPr>
                <w:rFonts w:asciiTheme="minorHAnsi" w:hAnsiTheme="minorHAnsi"/>
                <w:szCs w:val="22"/>
                <w:lang w:eastAsia="en-IN" w:bidi="hi-IN"/>
              </w:rPr>
              <w:t> </w:t>
            </w:r>
            <w:r w:rsidRPr="00D13D4E">
              <w:rPr>
                <w:rFonts w:asciiTheme="minorHAnsi" w:hAnsiTheme="minorHAnsi"/>
                <w:szCs w:val="22"/>
                <w:lang w:eastAsia="en-IN" w:bidi="hi-IN"/>
              </w:rPr>
              <w:t>4</w:t>
            </w:r>
            <w:r w:rsidR="00F43FAD" w:rsidRPr="00D13D4E">
              <w:rPr>
                <w:rFonts w:asciiTheme="minorHAnsi" w:hAnsiTheme="minorHAnsi"/>
                <w:szCs w:val="22"/>
                <w:lang w:eastAsia="en-IN" w:bidi="hi-IN"/>
              </w:rPr>
              <w:t> </w:t>
            </w:r>
            <w:r w:rsidR="00F43FAD" w:rsidRPr="00D13D4E">
              <w:rPr>
                <w:rFonts w:asciiTheme="minorHAnsi" w:hAnsiTheme="minorHAnsi"/>
                <w:szCs w:val="22"/>
                <w:lang w:eastAsia="en-IN" w:bidi="hi-IN"/>
              </w:rPr>
              <w:noBreakHyphen/>
              <w:t> </w:t>
            </w:r>
            <w:r w:rsidRPr="00D13D4E">
              <w:rPr>
                <w:rFonts w:asciiTheme="minorHAnsi" w:hAnsiTheme="minorHAnsi"/>
                <w:szCs w:val="22"/>
                <w:lang w:eastAsia="en-IN" w:bidi="hi-IN"/>
              </w:rPr>
              <w:t>Increased access to quality essential services.</w:t>
            </w:r>
          </w:p>
          <w:p w:rsidR="00D95E9E" w:rsidRPr="00D13D4E" w:rsidRDefault="00D95E9E" w:rsidP="004A5704">
            <w:pPr>
              <w:widowControl/>
              <w:autoSpaceDE w:val="0"/>
              <w:autoSpaceDN w:val="0"/>
              <w:adjustRightInd w:val="0"/>
              <w:spacing w:before="120"/>
              <w:jc w:val="both"/>
              <w:rPr>
                <w:rFonts w:asciiTheme="minorHAnsi" w:hAnsiTheme="minorHAnsi"/>
                <w:b/>
                <w:bCs/>
                <w:szCs w:val="22"/>
                <w:lang w:eastAsia="en-IN" w:bidi="hi-IN"/>
              </w:rPr>
            </w:pPr>
            <w:r w:rsidRPr="00D13D4E">
              <w:rPr>
                <w:rFonts w:asciiTheme="minorHAnsi" w:hAnsiTheme="minorHAnsi"/>
                <w:szCs w:val="22"/>
                <w:lang w:eastAsia="en-IN" w:bidi="hi-IN"/>
              </w:rPr>
              <w:t xml:space="preserve">Development Goal: </w:t>
            </w:r>
            <w:r w:rsidRPr="00D13D4E">
              <w:rPr>
                <w:rFonts w:asciiTheme="minorHAnsi" w:hAnsiTheme="minorHAnsi"/>
                <w:b/>
                <w:bCs/>
                <w:szCs w:val="22"/>
                <w:lang w:eastAsia="en-IN" w:bidi="hi-IN"/>
              </w:rPr>
              <w:t>The Iraqi state has more efficient, accountable and participatory governance at national and sub-national levels.</w:t>
            </w:r>
          </w:p>
          <w:p w:rsidR="00D95E9E" w:rsidRPr="00D13D4E" w:rsidRDefault="00D95E9E" w:rsidP="004A5704">
            <w:pPr>
              <w:widowControl/>
              <w:autoSpaceDE w:val="0"/>
              <w:autoSpaceDN w:val="0"/>
              <w:adjustRightInd w:val="0"/>
              <w:spacing w:before="120"/>
              <w:jc w:val="both"/>
              <w:rPr>
                <w:rFonts w:asciiTheme="minorHAnsi" w:hAnsiTheme="minorHAnsi"/>
                <w:szCs w:val="22"/>
                <w:lang w:eastAsia="en-IN" w:bidi="hi-IN"/>
              </w:rPr>
            </w:pPr>
            <w:r w:rsidRPr="00D13D4E">
              <w:rPr>
                <w:rFonts w:asciiTheme="minorHAnsi" w:hAnsiTheme="minorHAnsi"/>
                <w:szCs w:val="22"/>
                <w:lang w:eastAsia="en-IN" w:bidi="hi-IN"/>
              </w:rPr>
              <w:t>The Joint Programme is working towards the fulfilment of the below listed four outputs, which are considered as immediate objectives:</w:t>
            </w:r>
          </w:p>
          <w:p w:rsidR="00D95E9E" w:rsidRPr="00D13D4E" w:rsidRDefault="00D95E9E" w:rsidP="0069218F">
            <w:pPr>
              <w:widowControl/>
              <w:numPr>
                <w:ilvl w:val="0"/>
                <w:numId w:val="1"/>
              </w:numPr>
              <w:autoSpaceDE w:val="0"/>
              <w:autoSpaceDN w:val="0"/>
              <w:adjustRightInd w:val="0"/>
              <w:spacing w:before="120"/>
              <w:jc w:val="both"/>
              <w:rPr>
                <w:rFonts w:asciiTheme="minorHAnsi" w:hAnsiTheme="minorHAnsi"/>
                <w:szCs w:val="22"/>
                <w:lang w:eastAsia="en-IN" w:bidi="hi-IN"/>
              </w:rPr>
            </w:pPr>
            <w:r w:rsidRPr="00D13D4E">
              <w:rPr>
                <w:rFonts w:asciiTheme="minorHAnsi" w:hAnsiTheme="minorHAnsi"/>
                <w:szCs w:val="22"/>
                <w:lang w:eastAsia="en-IN" w:bidi="hi-IN"/>
              </w:rPr>
              <w:t xml:space="preserve">GoI has enhanced capacity to undertake public sector modernization at national, regional and governorate levels;  </w:t>
            </w:r>
          </w:p>
          <w:p w:rsidR="00D95E9E" w:rsidRPr="00D13D4E" w:rsidRDefault="00D95E9E" w:rsidP="0069218F">
            <w:pPr>
              <w:widowControl/>
              <w:numPr>
                <w:ilvl w:val="0"/>
                <w:numId w:val="1"/>
              </w:numPr>
              <w:autoSpaceDE w:val="0"/>
              <w:autoSpaceDN w:val="0"/>
              <w:adjustRightInd w:val="0"/>
              <w:spacing w:before="120"/>
              <w:jc w:val="both"/>
              <w:rPr>
                <w:rFonts w:asciiTheme="minorHAnsi" w:hAnsiTheme="minorHAnsi"/>
                <w:szCs w:val="22"/>
                <w:lang w:eastAsia="en-IN" w:bidi="hi-IN"/>
              </w:rPr>
            </w:pPr>
            <w:r w:rsidRPr="00D13D4E">
              <w:rPr>
                <w:rFonts w:asciiTheme="minorHAnsi" w:hAnsiTheme="minorHAnsi"/>
                <w:szCs w:val="22"/>
                <w:lang w:eastAsia="en-IN" w:bidi="hi-IN"/>
              </w:rPr>
              <w:t>GoI has improved public administration systems at national and sub-national levels;</w:t>
            </w:r>
          </w:p>
          <w:p w:rsidR="00D95E9E" w:rsidRPr="00D13D4E" w:rsidRDefault="00D95E9E" w:rsidP="0069218F">
            <w:pPr>
              <w:widowControl/>
              <w:numPr>
                <w:ilvl w:val="0"/>
                <w:numId w:val="1"/>
              </w:numPr>
              <w:autoSpaceDE w:val="0"/>
              <w:autoSpaceDN w:val="0"/>
              <w:adjustRightInd w:val="0"/>
              <w:spacing w:before="120"/>
              <w:jc w:val="both"/>
              <w:rPr>
                <w:rFonts w:asciiTheme="minorHAnsi" w:hAnsiTheme="minorHAnsi"/>
                <w:szCs w:val="22"/>
                <w:lang w:eastAsia="en-IN" w:bidi="hi-IN"/>
              </w:rPr>
            </w:pPr>
            <w:r w:rsidRPr="00D13D4E">
              <w:rPr>
                <w:rFonts w:asciiTheme="minorHAnsi" w:hAnsiTheme="minorHAnsi"/>
                <w:szCs w:val="22"/>
                <w:lang w:eastAsia="en-IN" w:bidi="hi-IN"/>
              </w:rPr>
              <w:t>GoI is implementing reform and modernization plans in Education, Health and WATSAN sectors</w:t>
            </w:r>
            <w:r w:rsidR="00511C5F" w:rsidRPr="00D13D4E">
              <w:rPr>
                <w:rFonts w:asciiTheme="minorHAnsi" w:hAnsiTheme="minorHAnsi"/>
                <w:szCs w:val="22"/>
                <w:lang w:eastAsia="en-IN" w:bidi="hi-IN"/>
              </w:rPr>
              <w:t>;</w:t>
            </w:r>
          </w:p>
          <w:p w:rsidR="00D95E9E" w:rsidRPr="00D13D4E" w:rsidRDefault="00D95E9E" w:rsidP="0069218F">
            <w:pPr>
              <w:widowControl/>
              <w:numPr>
                <w:ilvl w:val="0"/>
                <w:numId w:val="1"/>
              </w:numPr>
              <w:autoSpaceDE w:val="0"/>
              <w:autoSpaceDN w:val="0"/>
              <w:adjustRightInd w:val="0"/>
              <w:spacing w:before="120"/>
              <w:jc w:val="both"/>
              <w:rPr>
                <w:rFonts w:asciiTheme="minorHAnsi" w:hAnsiTheme="minorHAnsi"/>
                <w:szCs w:val="22"/>
                <w:lang w:eastAsia="en-IN" w:bidi="hi-IN"/>
              </w:rPr>
            </w:pPr>
            <w:r w:rsidRPr="00D13D4E">
              <w:rPr>
                <w:rFonts w:asciiTheme="minorHAnsi" w:hAnsiTheme="minorHAnsi"/>
                <w:szCs w:val="22"/>
                <w:lang w:eastAsia="en-IN" w:bidi="hi-IN"/>
              </w:rPr>
              <w:t>GoI sub-national governance and decentralised service delivery systems strengthened through enhanced participatory processes</w:t>
            </w:r>
            <w:r w:rsidR="00511C5F" w:rsidRPr="00D13D4E">
              <w:rPr>
                <w:rFonts w:asciiTheme="minorHAnsi" w:hAnsiTheme="minorHAnsi"/>
                <w:szCs w:val="22"/>
                <w:lang w:eastAsia="en-IN" w:bidi="hi-IN"/>
              </w:rPr>
              <w:t>.</w:t>
            </w:r>
          </w:p>
        </w:tc>
      </w:tr>
    </w:tbl>
    <w:p w:rsidR="00C77ACF" w:rsidRPr="00D13D4E" w:rsidRDefault="00C77ACF" w:rsidP="00C77ACF">
      <w:pPr>
        <w:rPr>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460"/>
      </w:tblGrid>
      <w:tr w:rsidR="00DD16E0" w:rsidRPr="00D13D4E" w:rsidTr="00C74FD7">
        <w:trPr>
          <w:tblHeader/>
          <w:jc w:val="center"/>
        </w:trPr>
        <w:tc>
          <w:tcPr>
            <w:tcW w:w="10080" w:type="dxa"/>
            <w:gridSpan w:val="2"/>
            <w:shd w:val="clear" w:color="auto" w:fill="D9D9D9"/>
          </w:tcPr>
          <w:p w:rsidR="00D3136F" w:rsidRPr="00D13D4E" w:rsidRDefault="00D3136F" w:rsidP="00D3136F">
            <w:pPr>
              <w:outlineLvl w:val="0"/>
              <w:rPr>
                <w:rFonts w:ascii="Calibri" w:hAnsi="Calibri"/>
                <w:b/>
                <w:szCs w:val="22"/>
              </w:rPr>
            </w:pPr>
            <w:r w:rsidRPr="00D13D4E">
              <w:rPr>
                <w:rFonts w:ascii="Calibri" w:hAnsi="Calibri"/>
                <w:b/>
                <w:szCs w:val="22"/>
              </w:rPr>
              <w:t>Outputs, Key activities and Procurement</w:t>
            </w:r>
          </w:p>
        </w:tc>
      </w:tr>
      <w:tr w:rsidR="00DD16E0" w:rsidRPr="00D13D4E" w:rsidTr="00C74FD7">
        <w:trPr>
          <w:trHeight w:val="759"/>
          <w:jc w:val="center"/>
        </w:trPr>
        <w:tc>
          <w:tcPr>
            <w:tcW w:w="1620" w:type="dxa"/>
            <w:tcBorders>
              <w:bottom w:val="single" w:sz="4" w:space="0" w:color="auto"/>
            </w:tcBorders>
          </w:tcPr>
          <w:p w:rsidR="000B3EC0" w:rsidRPr="00D13D4E" w:rsidRDefault="000B3EC0" w:rsidP="0052375C">
            <w:pPr>
              <w:rPr>
                <w:rFonts w:ascii="Calibri" w:hAnsi="Calibri"/>
                <w:b/>
                <w:szCs w:val="22"/>
              </w:rPr>
            </w:pPr>
            <w:r w:rsidRPr="00D13D4E">
              <w:rPr>
                <w:rFonts w:ascii="Calibri" w:hAnsi="Calibri"/>
                <w:b/>
                <w:szCs w:val="22"/>
              </w:rPr>
              <w:t>Outputs &amp; Key Activities</w:t>
            </w:r>
          </w:p>
        </w:tc>
        <w:tc>
          <w:tcPr>
            <w:tcW w:w="8460" w:type="dxa"/>
            <w:tcBorders>
              <w:bottom w:val="single" w:sz="4" w:space="0" w:color="auto"/>
            </w:tcBorders>
          </w:tcPr>
          <w:p w:rsidR="000B3EC0" w:rsidRPr="00D13D4E" w:rsidRDefault="000B3EC0" w:rsidP="0069218F">
            <w:pPr>
              <w:widowControl/>
              <w:numPr>
                <w:ilvl w:val="0"/>
                <w:numId w:val="2"/>
              </w:numPr>
              <w:autoSpaceDE w:val="0"/>
              <w:autoSpaceDN w:val="0"/>
              <w:adjustRightInd w:val="0"/>
              <w:ind w:left="237" w:hanging="237"/>
              <w:jc w:val="both"/>
              <w:rPr>
                <w:rFonts w:ascii="Calibri" w:hAnsi="Calibri"/>
                <w:b/>
                <w:bCs/>
                <w:szCs w:val="22"/>
                <w:lang w:eastAsia="en-IN" w:bidi="hi-IN"/>
              </w:rPr>
            </w:pPr>
            <w:r w:rsidRPr="00D13D4E">
              <w:rPr>
                <w:rFonts w:ascii="Calibri" w:hAnsi="Calibri"/>
                <w:b/>
                <w:bCs/>
                <w:szCs w:val="22"/>
                <w:lang w:eastAsia="en-IN" w:bidi="hi-IN"/>
              </w:rPr>
              <w:t>GoI has enhanced capacity to undertake public sector modernization at national, regional and governorate levels</w:t>
            </w:r>
          </w:p>
          <w:p w:rsidR="000B3EC0" w:rsidRPr="00D13D4E" w:rsidRDefault="001A505A" w:rsidP="0069218F">
            <w:pPr>
              <w:widowControl/>
              <w:numPr>
                <w:ilvl w:val="1"/>
                <w:numId w:val="2"/>
              </w:numPr>
              <w:autoSpaceDE w:val="0"/>
              <w:autoSpaceDN w:val="0"/>
              <w:adjustRightInd w:val="0"/>
              <w:rPr>
                <w:rFonts w:ascii="Calibri" w:hAnsi="Calibri"/>
                <w:snapToGrid/>
                <w:szCs w:val="22"/>
                <w:lang w:val="en-US"/>
              </w:rPr>
            </w:pPr>
            <w:r w:rsidRPr="00D13D4E">
              <w:rPr>
                <w:rFonts w:ascii="Calibri" w:hAnsi="Calibri"/>
                <w:snapToGrid/>
                <w:szCs w:val="22"/>
                <w:lang w:val="en-US"/>
              </w:rPr>
              <w:t xml:space="preserve">Developing a </w:t>
            </w:r>
            <w:r w:rsidR="000B3EC0" w:rsidRPr="00D13D4E">
              <w:rPr>
                <w:rFonts w:ascii="Calibri" w:hAnsi="Calibri"/>
                <w:snapToGrid/>
                <w:szCs w:val="22"/>
                <w:lang w:val="en-US"/>
              </w:rPr>
              <w:t>National PSM Strategy promoting integrity and accountability;</w:t>
            </w:r>
          </w:p>
          <w:p w:rsidR="000B3EC0" w:rsidRPr="00D13D4E" w:rsidRDefault="001A505A" w:rsidP="0069218F">
            <w:pPr>
              <w:widowControl/>
              <w:numPr>
                <w:ilvl w:val="1"/>
                <w:numId w:val="2"/>
              </w:numPr>
              <w:autoSpaceDE w:val="0"/>
              <w:autoSpaceDN w:val="0"/>
              <w:adjustRightInd w:val="0"/>
              <w:rPr>
                <w:rFonts w:ascii="Calibri" w:hAnsi="Calibri"/>
                <w:snapToGrid/>
                <w:szCs w:val="22"/>
                <w:lang w:val="en-US"/>
              </w:rPr>
            </w:pPr>
            <w:r w:rsidRPr="00D13D4E">
              <w:rPr>
                <w:rFonts w:ascii="Calibri" w:hAnsi="Calibri"/>
                <w:snapToGrid/>
                <w:szCs w:val="22"/>
                <w:lang w:val="en-US"/>
              </w:rPr>
              <w:t>Instigating</w:t>
            </w:r>
            <w:r w:rsidR="000B3EC0" w:rsidRPr="00D13D4E">
              <w:rPr>
                <w:rFonts w:ascii="Calibri" w:hAnsi="Calibri"/>
                <w:snapToGrid/>
                <w:szCs w:val="22"/>
                <w:lang w:val="en-US"/>
              </w:rPr>
              <w:t xml:space="preserve"> </w:t>
            </w:r>
            <w:r w:rsidRPr="00D13D4E">
              <w:rPr>
                <w:rFonts w:ascii="Calibri" w:hAnsi="Calibri"/>
                <w:snapToGrid/>
                <w:szCs w:val="22"/>
                <w:lang w:val="en-US"/>
              </w:rPr>
              <w:t xml:space="preserve">and establishing </w:t>
            </w:r>
            <w:r w:rsidR="000B3EC0" w:rsidRPr="00D13D4E">
              <w:rPr>
                <w:rFonts w:ascii="Calibri" w:hAnsi="Calibri"/>
                <w:snapToGrid/>
                <w:szCs w:val="22"/>
                <w:lang w:val="en-US"/>
              </w:rPr>
              <w:t xml:space="preserve">institutional and operational arrangements for </w:t>
            </w:r>
            <w:r w:rsidRPr="00D13D4E">
              <w:rPr>
                <w:rFonts w:ascii="Calibri" w:hAnsi="Calibri"/>
                <w:snapToGrid/>
                <w:szCs w:val="22"/>
                <w:lang w:val="en-US"/>
              </w:rPr>
              <w:t>the management of</w:t>
            </w:r>
            <w:r w:rsidR="000B3EC0" w:rsidRPr="00D13D4E">
              <w:rPr>
                <w:rFonts w:ascii="Calibri" w:hAnsi="Calibri"/>
                <w:snapToGrid/>
                <w:szCs w:val="22"/>
                <w:lang w:val="en-US"/>
              </w:rPr>
              <w:t xml:space="preserve"> PSM;</w:t>
            </w:r>
          </w:p>
          <w:p w:rsidR="000B3EC0" w:rsidRPr="00D13D4E" w:rsidRDefault="001A505A" w:rsidP="0069218F">
            <w:pPr>
              <w:widowControl/>
              <w:numPr>
                <w:ilvl w:val="1"/>
                <w:numId w:val="2"/>
              </w:numPr>
              <w:autoSpaceDE w:val="0"/>
              <w:autoSpaceDN w:val="0"/>
              <w:adjustRightInd w:val="0"/>
              <w:rPr>
                <w:rFonts w:ascii="Calibri" w:hAnsi="Calibri"/>
                <w:snapToGrid/>
                <w:szCs w:val="22"/>
                <w:lang w:val="en-US"/>
              </w:rPr>
            </w:pPr>
            <w:r w:rsidRPr="00D13D4E">
              <w:rPr>
                <w:rFonts w:ascii="Calibri" w:hAnsi="Calibri"/>
                <w:snapToGrid/>
                <w:szCs w:val="22"/>
                <w:lang w:val="en-US"/>
              </w:rPr>
              <w:t xml:space="preserve">Developing </w:t>
            </w:r>
            <w:r w:rsidR="000B3EC0" w:rsidRPr="00D13D4E">
              <w:rPr>
                <w:rFonts w:ascii="Calibri" w:hAnsi="Calibri"/>
                <w:snapToGrid/>
                <w:szCs w:val="22"/>
                <w:lang w:val="en-US"/>
              </w:rPr>
              <w:t>Knowledge Management (KM) system</w:t>
            </w:r>
            <w:r w:rsidRPr="00D13D4E">
              <w:rPr>
                <w:rFonts w:ascii="Calibri" w:hAnsi="Calibri"/>
                <w:snapToGrid/>
                <w:szCs w:val="22"/>
                <w:lang w:val="en-US"/>
              </w:rPr>
              <w:t>s</w:t>
            </w:r>
            <w:r w:rsidR="000B3EC0" w:rsidRPr="00D13D4E">
              <w:rPr>
                <w:rFonts w:ascii="Calibri" w:hAnsi="Calibri"/>
                <w:snapToGrid/>
                <w:szCs w:val="22"/>
                <w:lang w:val="en-US"/>
              </w:rPr>
              <w:t xml:space="preserve">; </w:t>
            </w:r>
          </w:p>
          <w:p w:rsidR="000B3EC0" w:rsidRPr="00D13D4E" w:rsidRDefault="001A505A" w:rsidP="0069218F">
            <w:pPr>
              <w:widowControl/>
              <w:numPr>
                <w:ilvl w:val="1"/>
                <w:numId w:val="2"/>
              </w:numPr>
              <w:autoSpaceDE w:val="0"/>
              <w:autoSpaceDN w:val="0"/>
              <w:adjustRightInd w:val="0"/>
              <w:rPr>
                <w:rFonts w:ascii="Calibri" w:hAnsi="Calibri"/>
                <w:szCs w:val="22"/>
                <w:lang w:eastAsia="en-IN" w:bidi="hi-IN"/>
              </w:rPr>
            </w:pPr>
            <w:r w:rsidRPr="00D13D4E">
              <w:rPr>
                <w:rFonts w:ascii="Calibri" w:hAnsi="Calibri"/>
                <w:snapToGrid/>
                <w:szCs w:val="22"/>
                <w:lang w:val="en-US"/>
              </w:rPr>
              <w:t xml:space="preserve">Supporting </w:t>
            </w:r>
            <w:r w:rsidR="000B3EC0" w:rsidRPr="00D13D4E">
              <w:rPr>
                <w:rFonts w:ascii="Calibri" w:hAnsi="Calibri"/>
                <w:snapToGrid/>
                <w:szCs w:val="22"/>
                <w:lang w:val="en-US"/>
              </w:rPr>
              <w:t>KRG civil service Commission for public sector modernization</w:t>
            </w:r>
            <w:r w:rsidRPr="00D13D4E">
              <w:rPr>
                <w:rFonts w:ascii="Calibri" w:hAnsi="Calibri"/>
                <w:snapToGrid/>
                <w:szCs w:val="22"/>
                <w:lang w:val="en-US"/>
              </w:rPr>
              <w:t xml:space="preserve"> at regional level</w:t>
            </w:r>
            <w:r w:rsidR="008B1868" w:rsidRPr="00D13D4E">
              <w:rPr>
                <w:rFonts w:ascii="Calibri" w:hAnsi="Calibri"/>
                <w:snapToGrid/>
                <w:szCs w:val="22"/>
                <w:lang w:val="en-US"/>
              </w:rPr>
              <w:t>;</w:t>
            </w:r>
          </w:p>
          <w:p w:rsidR="00CF4118" w:rsidRPr="00D13D4E" w:rsidRDefault="00CF4118" w:rsidP="00CF4118">
            <w:pPr>
              <w:widowControl/>
              <w:autoSpaceDE w:val="0"/>
              <w:autoSpaceDN w:val="0"/>
              <w:adjustRightInd w:val="0"/>
              <w:rPr>
                <w:rFonts w:ascii="Calibri" w:hAnsi="Calibri"/>
                <w:snapToGrid/>
                <w:szCs w:val="22"/>
              </w:rPr>
            </w:pPr>
          </w:p>
          <w:p w:rsidR="00CF4118" w:rsidRPr="00D13D4E" w:rsidRDefault="001A505A" w:rsidP="0069218F">
            <w:pPr>
              <w:widowControl/>
              <w:numPr>
                <w:ilvl w:val="0"/>
                <w:numId w:val="2"/>
              </w:numPr>
              <w:autoSpaceDE w:val="0"/>
              <w:autoSpaceDN w:val="0"/>
              <w:adjustRightInd w:val="0"/>
              <w:ind w:left="237" w:hanging="237"/>
              <w:jc w:val="both"/>
              <w:rPr>
                <w:rFonts w:ascii="Calibri" w:hAnsi="Calibri"/>
                <w:szCs w:val="22"/>
                <w:lang w:eastAsia="en-IN" w:bidi="hi-IN"/>
              </w:rPr>
            </w:pPr>
            <w:r w:rsidRPr="00D13D4E">
              <w:rPr>
                <w:rFonts w:ascii="Calibri" w:hAnsi="Calibri"/>
                <w:b/>
                <w:bCs/>
                <w:szCs w:val="22"/>
                <w:lang w:eastAsia="en-IN" w:bidi="hi-IN"/>
              </w:rPr>
              <w:t>GoI has improved public administration systems at national and sub-national levels</w:t>
            </w:r>
          </w:p>
          <w:p w:rsidR="001A505A" w:rsidRPr="00D13D4E" w:rsidRDefault="00B27577"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 xml:space="preserve">Enhancing existing and developing </w:t>
            </w:r>
            <w:r w:rsidR="001A505A" w:rsidRPr="00D13D4E">
              <w:rPr>
                <w:rFonts w:ascii="Calibri" w:hAnsi="Calibri"/>
                <w:szCs w:val="22"/>
                <w:lang w:eastAsia="en-IN" w:bidi="hi-IN"/>
              </w:rPr>
              <w:t>polici</w:t>
            </w:r>
            <w:r w:rsidRPr="00D13D4E">
              <w:rPr>
                <w:rFonts w:ascii="Calibri" w:hAnsi="Calibri"/>
                <w:szCs w:val="22"/>
                <w:lang w:eastAsia="en-IN" w:bidi="hi-IN"/>
              </w:rPr>
              <w:t>es and processes, specifically in</w:t>
            </w:r>
            <w:r w:rsidR="001A505A" w:rsidRPr="00D13D4E">
              <w:rPr>
                <w:rFonts w:ascii="Calibri" w:hAnsi="Calibri"/>
                <w:szCs w:val="22"/>
                <w:lang w:eastAsia="en-IN" w:bidi="hi-IN"/>
              </w:rPr>
              <w:t xml:space="preserve"> eGov, Iraq Development Management System, Knowledge Management, Senior Executive Service &amp; NCMDIT;</w:t>
            </w:r>
          </w:p>
          <w:p w:rsidR="001A505A" w:rsidRPr="00D13D4E" w:rsidRDefault="00B27577"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lastRenderedPageBreak/>
              <w:t xml:space="preserve">Establishing </w:t>
            </w:r>
            <w:r w:rsidR="001A505A" w:rsidRPr="00D13D4E">
              <w:rPr>
                <w:rFonts w:ascii="Calibri" w:hAnsi="Calibri"/>
                <w:szCs w:val="22"/>
                <w:lang w:eastAsia="en-IN" w:bidi="hi-IN"/>
              </w:rPr>
              <w:t>Gender Responsive approaches &amp; practices in public administration system, public policy, planning, budgeting &amp; evaluation;</w:t>
            </w:r>
          </w:p>
          <w:p w:rsidR="001A505A" w:rsidRPr="00D13D4E" w:rsidRDefault="00B27577"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 xml:space="preserve">Developing </w:t>
            </w:r>
            <w:r w:rsidR="001A505A" w:rsidRPr="00D13D4E">
              <w:rPr>
                <w:rFonts w:ascii="Calibri" w:hAnsi="Calibri"/>
                <w:szCs w:val="22"/>
                <w:lang w:eastAsia="en-IN" w:bidi="hi-IN"/>
              </w:rPr>
              <w:t xml:space="preserve">Gender sensitive statistics policy and human resources </w:t>
            </w:r>
            <w:r w:rsidRPr="00D13D4E">
              <w:rPr>
                <w:rFonts w:ascii="Calibri" w:hAnsi="Calibri"/>
                <w:szCs w:val="22"/>
                <w:lang w:eastAsia="en-IN" w:bidi="hi-IN"/>
              </w:rPr>
              <w:t>in line</w:t>
            </w:r>
            <w:r w:rsidR="001A505A" w:rsidRPr="00D13D4E">
              <w:rPr>
                <w:rFonts w:ascii="Calibri" w:hAnsi="Calibri"/>
                <w:szCs w:val="22"/>
                <w:lang w:eastAsia="en-IN" w:bidi="hi-IN"/>
              </w:rPr>
              <w:t xml:space="preserve"> with eGov policy and systems;</w:t>
            </w:r>
          </w:p>
          <w:p w:rsidR="001A505A" w:rsidRPr="00D13D4E" w:rsidRDefault="001A505A" w:rsidP="001A505A">
            <w:pPr>
              <w:widowControl/>
              <w:autoSpaceDE w:val="0"/>
              <w:autoSpaceDN w:val="0"/>
              <w:adjustRightInd w:val="0"/>
              <w:jc w:val="both"/>
              <w:rPr>
                <w:rFonts w:ascii="Calibri" w:hAnsi="Calibri"/>
                <w:szCs w:val="22"/>
                <w:lang w:eastAsia="en-IN" w:bidi="hi-IN"/>
              </w:rPr>
            </w:pPr>
          </w:p>
          <w:p w:rsidR="001A505A" w:rsidRPr="00D13D4E" w:rsidRDefault="001A505A" w:rsidP="0069218F">
            <w:pPr>
              <w:widowControl/>
              <w:numPr>
                <w:ilvl w:val="0"/>
                <w:numId w:val="2"/>
              </w:numPr>
              <w:autoSpaceDE w:val="0"/>
              <w:autoSpaceDN w:val="0"/>
              <w:adjustRightInd w:val="0"/>
              <w:ind w:left="237" w:hanging="237"/>
              <w:jc w:val="both"/>
              <w:rPr>
                <w:rFonts w:ascii="Calibri" w:hAnsi="Calibri"/>
                <w:szCs w:val="22"/>
                <w:lang w:eastAsia="en-IN" w:bidi="hi-IN"/>
              </w:rPr>
            </w:pPr>
            <w:r w:rsidRPr="00D13D4E">
              <w:rPr>
                <w:rFonts w:ascii="Calibri" w:hAnsi="Calibri"/>
                <w:b/>
                <w:bCs/>
                <w:szCs w:val="22"/>
                <w:lang w:eastAsia="en-IN" w:bidi="hi-IN"/>
              </w:rPr>
              <w:t>GoI is implementing reform and modernization plans  in Education, Health and WATSAN sectors</w:t>
            </w:r>
          </w:p>
          <w:p w:rsidR="001A505A" w:rsidRPr="00D13D4E" w:rsidRDefault="001A505A" w:rsidP="0069218F">
            <w:pPr>
              <w:widowControl/>
              <w:numPr>
                <w:ilvl w:val="1"/>
                <w:numId w:val="2"/>
              </w:numPr>
              <w:autoSpaceDE w:val="0"/>
              <w:autoSpaceDN w:val="0"/>
              <w:adjustRightInd w:val="0"/>
              <w:jc w:val="both"/>
              <w:rPr>
                <w:rFonts w:ascii="Calibri" w:hAnsi="Calibri"/>
                <w:b/>
                <w:bCs/>
                <w:szCs w:val="22"/>
                <w:lang w:eastAsia="en-IN" w:bidi="hi-IN"/>
              </w:rPr>
            </w:pPr>
            <w:r w:rsidRPr="00D13D4E">
              <w:rPr>
                <w:rFonts w:ascii="Calibri" w:hAnsi="Calibri"/>
                <w:b/>
                <w:bCs/>
                <w:szCs w:val="22"/>
                <w:lang w:eastAsia="en-IN" w:bidi="hi-IN"/>
              </w:rPr>
              <w:t>Education</w:t>
            </w:r>
          </w:p>
          <w:p w:rsidR="001A505A" w:rsidRPr="00D13D4E" w:rsidRDefault="001A505A"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Capacitating MOE and MoHESR with institutional mechanisms for better coordination of Education sector amongst stakeholders;</w:t>
            </w:r>
          </w:p>
          <w:p w:rsidR="001A505A" w:rsidRPr="00D13D4E" w:rsidRDefault="001A505A"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MOE/MoHESR have decentralized, ICT-enabled  and gender responsive organizational structures &amp; processes  for improved service delivery at central and governorate levels;</w:t>
            </w:r>
          </w:p>
          <w:p w:rsidR="001A505A" w:rsidRPr="00D13D4E" w:rsidRDefault="001A505A"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Strengthening human capacity of MoE and MoHESR in planning and coordination, M&amp;E, financial management, HRM, use of ICTs and gender mainstreaming;</w:t>
            </w:r>
          </w:p>
          <w:p w:rsidR="001A505A" w:rsidRPr="00D13D4E" w:rsidRDefault="001A505A" w:rsidP="0069218F">
            <w:pPr>
              <w:widowControl/>
              <w:numPr>
                <w:ilvl w:val="1"/>
                <w:numId w:val="2"/>
              </w:numPr>
              <w:autoSpaceDE w:val="0"/>
              <w:autoSpaceDN w:val="0"/>
              <w:adjustRightInd w:val="0"/>
              <w:jc w:val="both"/>
              <w:rPr>
                <w:rFonts w:ascii="Calibri" w:hAnsi="Calibri"/>
                <w:b/>
                <w:bCs/>
                <w:szCs w:val="22"/>
                <w:lang w:eastAsia="en-IN" w:bidi="hi-IN"/>
              </w:rPr>
            </w:pPr>
            <w:r w:rsidRPr="00D13D4E">
              <w:rPr>
                <w:rFonts w:ascii="Calibri" w:hAnsi="Calibri"/>
                <w:b/>
                <w:bCs/>
                <w:szCs w:val="22"/>
                <w:lang w:eastAsia="en-IN" w:bidi="hi-IN"/>
              </w:rPr>
              <w:t>Health</w:t>
            </w:r>
          </w:p>
          <w:p w:rsidR="001A505A" w:rsidRPr="00D13D4E" w:rsidRDefault="001A505A" w:rsidP="0069218F">
            <w:pPr>
              <w:widowControl/>
              <w:numPr>
                <w:ilvl w:val="2"/>
                <w:numId w:val="2"/>
              </w:numPr>
              <w:autoSpaceDE w:val="0"/>
              <w:autoSpaceDN w:val="0"/>
              <w:adjustRightInd w:val="0"/>
              <w:ind w:left="867" w:hanging="507"/>
              <w:jc w:val="both"/>
              <w:rPr>
                <w:rFonts w:ascii="Calibri" w:hAnsi="Calibri"/>
                <w:b/>
                <w:bCs/>
                <w:szCs w:val="22"/>
                <w:lang w:eastAsia="en-IN" w:bidi="hi-IN"/>
              </w:rPr>
            </w:pPr>
            <w:r w:rsidRPr="00D13D4E">
              <w:rPr>
                <w:rFonts w:ascii="Calibri" w:hAnsi="Calibri"/>
                <w:szCs w:val="22"/>
                <w:lang w:eastAsia="en-IN" w:bidi="hi-IN"/>
              </w:rPr>
              <w:t>Instigating policies, plans and organisational  framework for better health services including decentralisation, public-private partnership,  health financing, ICT and gender responsive approaches;</w:t>
            </w:r>
          </w:p>
          <w:p w:rsidR="001A505A" w:rsidRPr="00D13D4E" w:rsidRDefault="001A505A" w:rsidP="0069218F">
            <w:pPr>
              <w:widowControl/>
              <w:numPr>
                <w:ilvl w:val="2"/>
                <w:numId w:val="2"/>
              </w:numPr>
              <w:autoSpaceDE w:val="0"/>
              <w:autoSpaceDN w:val="0"/>
              <w:adjustRightInd w:val="0"/>
              <w:ind w:left="867" w:hanging="507"/>
              <w:jc w:val="both"/>
              <w:rPr>
                <w:rFonts w:ascii="Calibri" w:hAnsi="Calibri"/>
                <w:b/>
                <w:bCs/>
                <w:szCs w:val="22"/>
                <w:lang w:eastAsia="en-IN" w:bidi="hi-IN"/>
              </w:rPr>
            </w:pPr>
            <w:r w:rsidRPr="00D13D4E">
              <w:rPr>
                <w:rFonts w:ascii="Calibri" w:hAnsi="Calibri"/>
                <w:szCs w:val="22"/>
                <w:lang w:eastAsia="en-IN" w:bidi="hi-IN"/>
              </w:rPr>
              <w:t>Enhancing GoI’s capacity for policy, planning,  programme management and health care delivery,  including  decentralized health care based on PHC &amp; Family practice with policy on PPP;</w:t>
            </w:r>
          </w:p>
          <w:p w:rsidR="001A505A" w:rsidRPr="00D13D4E" w:rsidRDefault="00FA5452" w:rsidP="0069218F">
            <w:pPr>
              <w:widowControl/>
              <w:numPr>
                <w:ilvl w:val="1"/>
                <w:numId w:val="2"/>
              </w:numPr>
              <w:autoSpaceDE w:val="0"/>
              <w:autoSpaceDN w:val="0"/>
              <w:adjustRightInd w:val="0"/>
              <w:jc w:val="both"/>
              <w:rPr>
                <w:rFonts w:ascii="Calibri" w:hAnsi="Calibri"/>
                <w:b/>
                <w:bCs/>
                <w:szCs w:val="22"/>
                <w:lang w:eastAsia="en-IN" w:bidi="hi-IN"/>
              </w:rPr>
            </w:pPr>
            <w:r w:rsidRPr="00D13D4E">
              <w:rPr>
                <w:rFonts w:ascii="Calibri" w:hAnsi="Calibri"/>
                <w:b/>
                <w:bCs/>
                <w:szCs w:val="22"/>
                <w:lang w:eastAsia="en-IN" w:bidi="hi-IN"/>
              </w:rPr>
              <w:t>WATSAN</w:t>
            </w:r>
          </w:p>
          <w:p w:rsidR="001A505A" w:rsidRPr="00D13D4E" w:rsidRDefault="001A505A"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 xml:space="preserve">Developing institutional, organizational and operational arrangements for a water utility; </w:t>
            </w:r>
          </w:p>
          <w:p w:rsidR="001A505A" w:rsidRPr="00D13D4E" w:rsidRDefault="00D85B00"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Drafting l</w:t>
            </w:r>
            <w:r w:rsidR="001A505A" w:rsidRPr="00D13D4E">
              <w:rPr>
                <w:rFonts w:ascii="Calibri" w:hAnsi="Calibri"/>
                <w:szCs w:val="22"/>
                <w:lang w:eastAsia="en-IN" w:bidi="hi-IN"/>
              </w:rPr>
              <w:t>egislative and regulatory instruments for modernization of water, sewerage and solid waste public service delivery</w:t>
            </w:r>
            <w:r w:rsidRPr="00D13D4E">
              <w:rPr>
                <w:rFonts w:ascii="Calibri" w:hAnsi="Calibri"/>
                <w:szCs w:val="22"/>
                <w:lang w:eastAsia="en-IN" w:bidi="hi-IN"/>
              </w:rPr>
              <w:t xml:space="preserve"> and submitting them to</w:t>
            </w:r>
            <w:r w:rsidR="001A505A" w:rsidRPr="00D13D4E">
              <w:rPr>
                <w:rFonts w:ascii="Calibri" w:hAnsi="Calibri"/>
                <w:szCs w:val="22"/>
                <w:lang w:eastAsia="en-IN" w:bidi="hi-IN"/>
              </w:rPr>
              <w:t xml:space="preserve"> Council of Ministers</w:t>
            </w:r>
            <w:r w:rsidRPr="00D13D4E">
              <w:rPr>
                <w:rFonts w:ascii="Calibri" w:hAnsi="Calibri"/>
                <w:szCs w:val="22"/>
                <w:lang w:eastAsia="en-IN" w:bidi="hi-IN"/>
              </w:rPr>
              <w:t>;</w:t>
            </w:r>
          </w:p>
          <w:p w:rsidR="00D85B00" w:rsidRPr="00D13D4E" w:rsidRDefault="00D85B00"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Preparing plans for improved operational management in partnership with High Council of Water (HCW);</w:t>
            </w:r>
          </w:p>
          <w:p w:rsidR="00D85B00" w:rsidRPr="00D13D4E" w:rsidRDefault="00D85B00"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Developing strategies for improved public participation and customer orientation;</w:t>
            </w:r>
          </w:p>
          <w:p w:rsidR="00D85B00" w:rsidRPr="00D13D4E" w:rsidRDefault="00D85B00" w:rsidP="0069218F">
            <w:pPr>
              <w:widowControl/>
              <w:numPr>
                <w:ilvl w:val="2"/>
                <w:numId w:val="2"/>
              </w:numPr>
              <w:autoSpaceDE w:val="0"/>
              <w:autoSpaceDN w:val="0"/>
              <w:adjustRightInd w:val="0"/>
              <w:ind w:left="867" w:hanging="507"/>
              <w:jc w:val="both"/>
              <w:rPr>
                <w:rFonts w:ascii="Calibri" w:hAnsi="Calibri"/>
                <w:szCs w:val="22"/>
                <w:lang w:eastAsia="en-IN" w:bidi="hi-IN"/>
              </w:rPr>
            </w:pPr>
            <w:r w:rsidRPr="00D13D4E">
              <w:rPr>
                <w:rFonts w:ascii="Calibri" w:hAnsi="Calibri"/>
                <w:szCs w:val="22"/>
                <w:lang w:eastAsia="en-IN" w:bidi="hi-IN"/>
              </w:rPr>
              <w:t>Updating Solid Waste Management strategy, policy, national master and capital investment plans;</w:t>
            </w:r>
          </w:p>
          <w:p w:rsidR="00D85B00" w:rsidRPr="00D13D4E" w:rsidRDefault="00D85B00" w:rsidP="0069218F">
            <w:pPr>
              <w:widowControl/>
              <w:numPr>
                <w:ilvl w:val="0"/>
                <w:numId w:val="2"/>
              </w:numPr>
              <w:autoSpaceDE w:val="0"/>
              <w:autoSpaceDN w:val="0"/>
              <w:adjustRightInd w:val="0"/>
              <w:ind w:left="237" w:hanging="237"/>
              <w:jc w:val="both"/>
              <w:rPr>
                <w:rFonts w:ascii="Calibri" w:hAnsi="Calibri"/>
                <w:szCs w:val="22"/>
                <w:lang w:eastAsia="en-IN" w:bidi="hi-IN"/>
              </w:rPr>
            </w:pPr>
            <w:r w:rsidRPr="00D13D4E">
              <w:rPr>
                <w:rFonts w:ascii="Calibri" w:hAnsi="Calibri"/>
                <w:b/>
                <w:bCs/>
                <w:szCs w:val="22"/>
                <w:lang w:eastAsia="en-IN" w:bidi="hi-IN"/>
              </w:rPr>
              <w:t>GoI sub-national governance and decentralised service delivery systems strengthened through enhanced participatory processes</w:t>
            </w:r>
          </w:p>
          <w:p w:rsidR="00D85B00" w:rsidRPr="00D13D4E" w:rsidRDefault="00D85B00"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Strengthening decentralization and strengthening local governance through legislative support, substantive contributions and capacity building of actors of decentralization;</w:t>
            </w:r>
          </w:p>
          <w:p w:rsidR="00D85B00" w:rsidRPr="00D13D4E" w:rsidRDefault="00D85B00"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Enhancing gender sensitive planning, budgeting &amp; evaluation capacity at central and governorate levels;</w:t>
            </w:r>
          </w:p>
          <w:p w:rsidR="00D85B00" w:rsidRPr="00D13D4E" w:rsidRDefault="00D85B00"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Empowering civil society through participatory and inclusive governance  approaches and initiatives;</w:t>
            </w:r>
          </w:p>
          <w:p w:rsidR="00D85B00" w:rsidRPr="00D13D4E" w:rsidRDefault="00D85B00"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Supporting the implementation of pilot participatory service delivery projects in Health, Education and WATSAN sectors in three selected governorates;</w:t>
            </w:r>
          </w:p>
          <w:p w:rsidR="001747A1" w:rsidRPr="00D13D4E" w:rsidRDefault="00D85B00" w:rsidP="0069218F">
            <w:pPr>
              <w:widowControl/>
              <w:numPr>
                <w:ilvl w:val="1"/>
                <w:numId w:val="2"/>
              </w:numPr>
              <w:autoSpaceDE w:val="0"/>
              <w:autoSpaceDN w:val="0"/>
              <w:adjustRightInd w:val="0"/>
              <w:jc w:val="both"/>
              <w:rPr>
                <w:rFonts w:ascii="Calibri" w:hAnsi="Calibri"/>
                <w:szCs w:val="22"/>
                <w:lang w:eastAsia="en-IN" w:bidi="hi-IN"/>
              </w:rPr>
            </w:pPr>
            <w:r w:rsidRPr="00D13D4E">
              <w:rPr>
                <w:rFonts w:ascii="Calibri" w:hAnsi="Calibri"/>
                <w:szCs w:val="22"/>
                <w:lang w:eastAsia="en-IN" w:bidi="hi-IN"/>
              </w:rPr>
              <w:t>Supporting the KRG in instigating Urban Governance</w:t>
            </w:r>
            <w:r w:rsidR="000B57F4" w:rsidRPr="00D13D4E">
              <w:rPr>
                <w:rStyle w:val="FootnoteReference"/>
                <w:rFonts w:ascii="Calibri" w:hAnsi="Calibri"/>
                <w:szCs w:val="22"/>
                <w:lang w:eastAsia="en-IN" w:bidi="hi-IN"/>
              </w:rPr>
              <w:footnoteReference w:id="1"/>
            </w:r>
            <w:r w:rsidR="008B1868" w:rsidRPr="00D13D4E">
              <w:rPr>
                <w:rFonts w:ascii="Calibri" w:hAnsi="Calibri"/>
                <w:szCs w:val="22"/>
                <w:lang w:eastAsia="en-IN" w:bidi="hi-IN"/>
              </w:rPr>
              <w:t>.</w:t>
            </w:r>
          </w:p>
        </w:tc>
      </w:tr>
      <w:tr w:rsidR="00DD16E0" w:rsidRPr="00D13D4E" w:rsidTr="00BE28BE">
        <w:trPr>
          <w:trHeight w:val="2420"/>
          <w:jc w:val="center"/>
        </w:trPr>
        <w:tc>
          <w:tcPr>
            <w:tcW w:w="1620" w:type="dxa"/>
          </w:tcPr>
          <w:p w:rsidR="00DF2601" w:rsidRPr="00D13D4E" w:rsidRDefault="00DF2601" w:rsidP="00C77ACF">
            <w:pPr>
              <w:rPr>
                <w:rFonts w:ascii="Calibri" w:hAnsi="Calibri"/>
                <w:b/>
                <w:szCs w:val="22"/>
              </w:rPr>
            </w:pPr>
            <w:r w:rsidRPr="00D13D4E">
              <w:rPr>
                <w:rFonts w:ascii="Calibri" w:hAnsi="Calibri"/>
                <w:b/>
                <w:szCs w:val="22"/>
              </w:rPr>
              <w:lastRenderedPageBreak/>
              <w:t>Procurement</w:t>
            </w:r>
          </w:p>
          <w:p w:rsidR="00DF2601" w:rsidRPr="00D13D4E" w:rsidRDefault="00DF2601" w:rsidP="00C77ACF">
            <w:pPr>
              <w:rPr>
                <w:rFonts w:ascii="Calibri" w:hAnsi="Calibri"/>
                <w:b/>
                <w:szCs w:val="22"/>
              </w:rPr>
            </w:pPr>
            <w:r w:rsidRPr="00D13D4E">
              <w:rPr>
                <w:rFonts w:ascii="Calibri" w:hAnsi="Calibri"/>
                <w:b/>
                <w:szCs w:val="22"/>
              </w:rPr>
              <w:t xml:space="preserve">(major items) </w:t>
            </w:r>
          </w:p>
        </w:tc>
        <w:tc>
          <w:tcPr>
            <w:tcW w:w="8460" w:type="dxa"/>
          </w:tcPr>
          <w:p w:rsidR="00DF2601" w:rsidRPr="00D13D4E" w:rsidRDefault="00DF2601" w:rsidP="006C42CF">
            <w:pPr>
              <w:spacing w:before="120"/>
              <w:rPr>
                <w:rFonts w:ascii="Calibri" w:hAnsi="Calibri"/>
                <w:szCs w:val="22"/>
              </w:rPr>
            </w:pPr>
            <w:r w:rsidRPr="00D13D4E">
              <w:rPr>
                <w:rFonts w:ascii="Calibri" w:hAnsi="Calibri"/>
                <w:szCs w:val="22"/>
              </w:rPr>
              <w:t xml:space="preserve">The IPSM programme assists in the provision of technical expertise and support to the GoI in its endeavour to enhancing and modernizing its administrative structures with the aim of improving service delivery schemes at different tiers of government.  Very limited equipment and materials are expected to be purchased under the IPSM Phase II programme. During this reporting period, the following procurement was recorded by implementing agencies: </w:t>
            </w:r>
          </w:p>
          <w:p w:rsidR="00587496" w:rsidRPr="00D13D4E" w:rsidRDefault="00587496" w:rsidP="00442A04">
            <w:pPr>
              <w:spacing w:before="120"/>
              <w:rPr>
                <w:rFonts w:ascii="Calibri" w:hAnsi="Calibri"/>
                <w:b/>
                <w:bCs/>
                <w:szCs w:val="22"/>
              </w:rPr>
            </w:pPr>
            <w:r w:rsidRPr="00D13D4E">
              <w:rPr>
                <w:rFonts w:ascii="Calibri" w:hAnsi="Calibri"/>
                <w:b/>
                <w:bCs/>
                <w:szCs w:val="22"/>
              </w:rPr>
              <w:t>UNDP</w:t>
            </w:r>
          </w:p>
          <w:p w:rsidR="00587496" w:rsidRPr="00D13D4E" w:rsidRDefault="00587496" w:rsidP="00442A04">
            <w:pPr>
              <w:spacing w:before="120"/>
              <w:rPr>
                <w:rFonts w:ascii="Calibri" w:hAnsi="Calibri"/>
                <w:b/>
                <w:bCs/>
                <w:szCs w:val="22"/>
              </w:rPr>
            </w:pPr>
            <w:r w:rsidRPr="00D13D4E">
              <w:rPr>
                <w:rFonts w:ascii="Calibri" w:hAnsi="Calibri"/>
                <w:b/>
                <w:bCs/>
                <w:szCs w:val="22"/>
              </w:rPr>
              <w:t>ESCWA</w:t>
            </w:r>
          </w:p>
          <w:p w:rsidR="00442A04" w:rsidRPr="00D13D4E" w:rsidRDefault="00442A04" w:rsidP="00442A04">
            <w:pPr>
              <w:spacing w:before="120"/>
              <w:rPr>
                <w:rFonts w:ascii="Calibri" w:hAnsi="Calibri"/>
                <w:b/>
                <w:bCs/>
                <w:szCs w:val="22"/>
              </w:rPr>
            </w:pPr>
            <w:r w:rsidRPr="00D13D4E">
              <w:rPr>
                <w:rFonts w:ascii="Calibri" w:hAnsi="Calibri"/>
                <w:b/>
                <w:bCs/>
                <w:szCs w:val="22"/>
              </w:rPr>
              <w:t xml:space="preserve">UN-Habitat: </w:t>
            </w:r>
          </w:p>
          <w:p w:rsidR="0093685B" w:rsidRPr="00D13D4E" w:rsidRDefault="0093685B" w:rsidP="0093685B">
            <w:pPr>
              <w:spacing w:before="120"/>
              <w:rPr>
                <w:rFonts w:ascii="Calibri" w:hAnsi="Calibri"/>
                <w:b/>
                <w:bCs/>
                <w:szCs w:val="22"/>
              </w:rPr>
            </w:pPr>
            <w:r w:rsidRPr="00D13D4E">
              <w:rPr>
                <w:rFonts w:ascii="Calibri" w:hAnsi="Calibri"/>
                <w:b/>
                <w:bCs/>
                <w:szCs w:val="22"/>
              </w:rPr>
              <w:t>UN-Women:</w:t>
            </w:r>
          </w:p>
          <w:p w:rsidR="00D06E95" w:rsidRPr="00D13D4E" w:rsidRDefault="00D06E95" w:rsidP="00587496">
            <w:pPr>
              <w:spacing w:before="120"/>
              <w:rPr>
                <w:rFonts w:ascii="Calibri" w:hAnsi="Calibri"/>
                <w:b/>
                <w:bCs/>
                <w:szCs w:val="22"/>
              </w:rPr>
            </w:pPr>
            <w:r w:rsidRPr="00D13D4E">
              <w:rPr>
                <w:rFonts w:ascii="Calibri" w:hAnsi="Calibri"/>
                <w:b/>
                <w:bCs/>
                <w:szCs w:val="22"/>
              </w:rPr>
              <w:t xml:space="preserve">UNESCO: </w:t>
            </w:r>
          </w:p>
          <w:p w:rsidR="00055754" w:rsidRPr="00D13D4E" w:rsidRDefault="00587496" w:rsidP="00587496">
            <w:pPr>
              <w:spacing w:before="120"/>
              <w:rPr>
                <w:rFonts w:ascii="Calibri" w:hAnsi="Calibri"/>
                <w:b/>
                <w:bCs/>
                <w:szCs w:val="22"/>
              </w:rPr>
            </w:pPr>
            <w:r w:rsidRPr="00D13D4E">
              <w:rPr>
                <w:rFonts w:ascii="Calibri" w:hAnsi="Calibri"/>
                <w:b/>
                <w:bCs/>
                <w:szCs w:val="22"/>
              </w:rPr>
              <w:t>UNFPA</w:t>
            </w:r>
          </w:p>
          <w:p w:rsidR="00587496" w:rsidRPr="00D13D4E" w:rsidRDefault="00587496" w:rsidP="00587496">
            <w:pPr>
              <w:spacing w:before="120"/>
              <w:rPr>
                <w:rFonts w:ascii="Calibri" w:hAnsi="Calibri"/>
                <w:b/>
                <w:bCs/>
                <w:szCs w:val="22"/>
              </w:rPr>
            </w:pPr>
            <w:r w:rsidRPr="00D13D4E">
              <w:rPr>
                <w:rFonts w:ascii="Calibri" w:hAnsi="Calibri"/>
                <w:b/>
                <w:bCs/>
                <w:szCs w:val="22"/>
              </w:rPr>
              <w:t>WHO</w:t>
            </w:r>
          </w:p>
          <w:p w:rsidR="00587496" w:rsidRPr="00D13D4E" w:rsidRDefault="00587496" w:rsidP="00587496">
            <w:pPr>
              <w:spacing w:before="120"/>
            </w:pPr>
            <w:r w:rsidRPr="00D13D4E">
              <w:rPr>
                <w:rFonts w:ascii="Calibri" w:hAnsi="Calibri"/>
                <w:b/>
                <w:bCs/>
                <w:szCs w:val="22"/>
              </w:rPr>
              <w:t>UNICEF</w:t>
            </w:r>
          </w:p>
        </w:tc>
      </w:tr>
    </w:tbl>
    <w:p w:rsidR="00754CF8" w:rsidRPr="00D13D4E" w:rsidRDefault="00754CF8" w:rsidP="00A12C63">
      <w:pPr>
        <w:outlineLvl w:val="0"/>
        <w:rPr>
          <w:b/>
          <w:szCs w:val="22"/>
        </w:rPr>
      </w:pPr>
    </w:p>
    <w:p w:rsidR="00276B4A" w:rsidRPr="00D13D4E" w:rsidRDefault="00276B4A" w:rsidP="00A12C63">
      <w:pPr>
        <w:outlineLvl w:val="0"/>
        <w:rPr>
          <w:b/>
          <w:szCs w:val="22"/>
        </w:rPr>
      </w:pPr>
    </w:p>
    <w:p w:rsidR="00276B4A" w:rsidRPr="00D13D4E" w:rsidRDefault="00276B4A" w:rsidP="00A12C63">
      <w:pPr>
        <w:outlineLvl w:val="0"/>
        <w:rPr>
          <w:b/>
          <w:szCs w:val="22"/>
        </w:rPr>
      </w:pPr>
    </w:p>
    <w:p w:rsidR="00EB1EE3" w:rsidRPr="00D13D4E" w:rsidRDefault="005B7500" w:rsidP="00B85742">
      <w:pPr>
        <w:ind w:left="1440" w:firstLine="720"/>
        <w:outlineLvl w:val="0"/>
        <w:rPr>
          <w:b/>
          <w:szCs w:val="22"/>
        </w:rPr>
      </w:pPr>
      <w:r w:rsidRPr="00D13D4E">
        <w:rPr>
          <w:b/>
          <w:szCs w:val="22"/>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40"/>
        <w:gridCol w:w="2700"/>
        <w:gridCol w:w="1440"/>
        <w:gridCol w:w="1980"/>
      </w:tblGrid>
      <w:tr w:rsidR="00AA0921" w:rsidRPr="00D13D4E" w:rsidTr="00C74FD7">
        <w:trPr>
          <w:jc w:val="center"/>
        </w:trPr>
        <w:tc>
          <w:tcPr>
            <w:tcW w:w="1620" w:type="dxa"/>
            <w:vMerge w:val="restart"/>
          </w:tcPr>
          <w:p w:rsidR="00AA0921" w:rsidRPr="00D13D4E" w:rsidRDefault="00AA0921" w:rsidP="00C77ACF">
            <w:pPr>
              <w:rPr>
                <w:rFonts w:ascii="Calibri" w:hAnsi="Calibri"/>
                <w:b/>
                <w:szCs w:val="22"/>
              </w:rPr>
            </w:pPr>
            <w:r w:rsidRPr="00D13D4E">
              <w:rPr>
                <w:rFonts w:ascii="Calibri" w:hAnsi="Calibri"/>
                <w:b/>
                <w:szCs w:val="22"/>
              </w:rPr>
              <w:t xml:space="preserve">Funds Committed </w:t>
            </w:r>
          </w:p>
        </w:tc>
        <w:tc>
          <w:tcPr>
            <w:tcW w:w="2340" w:type="dxa"/>
          </w:tcPr>
          <w:p w:rsidR="00AA0921" w:rsidRPr="00D13D4E" w:rsidRDefault="00AA0921" w:rsidP="001747A1">
            <w:pPr>
              <w:rPr>
                <w:rFonts w:ascii="Calibri" w:hAnsi="Calibri"/>
                <w:szCs w:val="22"/>
              </w:rPr>
            </w:pPr>
            <w:r w:rsidRPr="00D13D4E">
              <w:rPr>
                <w:rFonts w:ascii="Calibri" w:hAnsi="Calibri"/>
                <w:bCs/>
                <w:szCs w:val="22"/>
              </w:rPr>
              <w:t>UNDP</w:t>
            </w:r>
          </w:p>
        </w:tc>
        <w:tc>
          <w:tcPr>
            <w:tcW w:w="2700" w:type="dxa"/>
          </w:tcPr>
          <w:p w:rsidR="00AA0921" w:rsidRPr="00D13D4E" w:rsidRDefault="00F91FD2" w:rsidP="00F91FD2">
            <w:pPr>
              <w:rPr>
                <w:rFonts w:ascii="Calibri" w:hAnsi="Calibri"/>
                <w:b/>
                <w:szCs w:val="22"/>
              </w:rPr>
            </w:pPr>
            <w:r w:rsidRPr="00D13D4E">
              <w:rPr>
                <w:rFonts w:ascii="Calibri" w:hAnsi="Calibri"/>
                <w:b/>
                <w:szCs w:val="22"/>
              </w:rPr>
              <w:t>US$ 5,036,731.00</w:t>
            </w:r>
          </w:p>
        </w:tc>
        <w:tc>
          <w:tcPr>
            <w:tcW w:w="1440" w:type="dxa"/>
            <w:vMerge w:val="restart"/>
            <w:textDirection w:val="btLr"/>
            <w:vAlign w:val="center"/>
          </w:tcPr>
          <w:p w:rsidR="00AA0921" w:rsidRPr="00D13D4E" w:rsidRDefault="00AA0921" w:rsidP="001747A1">
            <w:pPr>
              <w:ind w:left="113" w:right="113"/>
              <w:jc w:val="center"/>
              <w:rPr>
                <w:rFonts w:ascii="Calibri" w:hAnsi="Calibri"/>
                <w:b/>
                <w:szCs w:val="22"/>
              </w:rPr>
            </w:pPr>
            <w:r w:rsidRPr="00D13D4E">
              <w:rPr>
                <w:rFonts w:ascii="Calibri" w:hAnsi="Calibri"/>
                <w:b/>
                <w:szCs w:val="22"/>
              </w:rPr>
              <w:t>% of approved</w:t>
            </w:r>
          </w:p>
        </w:tc>
        <w:tc>
          <w:tcPr>
            <w:tcW w:w="1980" w:type="dxa"/>
          </w:tcPr>
          <w:p w:rsidR="00AA0921" w:rsidRPr="00D13D4E" w:rsidRDefault="00836C4E" w:rsidP="007F7260">
            <w:pPr>
              <w:jc w:val="center"/>
              <w:rPr>
                <w:rFonts w:ascii="Calibri" w:hAnsi="Calibri"/>
                <w:b/>
                <w:szCs w:val="22"/>
              </w:rPr>
            </w:pPr>
            <w:r w:rsidRPr="00D13D4E">
              <w:rPr>
                <w:rFonts w:ascii="Calibri" w:hAnsi="Calibri"/>
                <w:b/>
                <w:szCs w:val="22"/>
              </w:rPr>
              <w:t>93%</w:t>
            </w:r>
          </w:p>
        </w:tc>
      </w:tr>
      <w:tr w:rsidR="00AA0921" w:rsidRPr="00D13D4E" w:rsidTr="00C74FD7">
        <w:trPr>
          <w:jc w:val="center"/>
        </w:trPr>
        <w:tc>
          <w:tcPr>
            <w:tcW w:w="1620" w:type="dxa"/>
            <w:vMerge/>
          </w:tcPr>
          <w:p w:rsidR="00AA0921" w:rsidRPr="00D13D4E" w:rsidRDefault="00AA0921" w:rsidP="00C77ACF">
            <w:pPr>
              <w:rPr>
                <w:rFonts w:ascii="Calibri" w:hAnsi="Calibri"/>
                <w:b/>
                <w:szCs w:val="22"/>
              </w:rPr>
            </w:pPr>
          </w:p>
        </w:tc>
        <w:tc>
          <w:tcPr>
            <w:tcW w:w="2340" w:type="dxa"/>
          </w:tcPr>
          <w:p w:rsidR="00AA0921" w:rsidRPr="00D13D4E" w:rsidRDefault="00AA0921" w:rsidP="001747A1">
            <w:pPr>
              <w:rPr>
                <w:rFonts w:ascii="Calibri" w:hAnsi="Calibri"/>
                <w:szCs w:val="22"/>
              </w:rPr>
            </w:pPr>
            <w:r w:rsidRPr="00D13D4E">
              <w:rPr>
                <w:rFonts w:ascii="Calibri" w:hAnsi="Calibri"/>
                <w:bCs/>
                <w:szCs w:val="22"/>
              </w:rPr>
              <w:t>UNESCO</w:t>
            </w:r>
          </w:p>
        </w:tc>
        <w:tc>
          <w:tcPr>
            <w:tcW w:w="2700" w:type="dxa"/>
          </w:tcPr>
          <w:p w:rsidR="00AA0921" w:rsidRPr="00D13D4E" w:rsidRDefault="00595090" w:rsidP="007F7260">
            <w:pPr>
              <w:rPr>
                <w:rFonts w:ascii="Calibri" w:hAnsi="Calibri"/>
                <w:b/>
                <w:szCs w:val="22"/>
              </w:rPr>
            </w:pPr>
            <w:r w:rsidRPr="00D13D4E">
              <w:rPr>
                <w:rFonts w:ascii="Calibri" w:hAnsi="Calibri"/>
                <w:b/>
                <w:szCs w:val="22"/>
              </w:rPr>
              <w:t>US$ 1,927,101</w:t>
            </w:r>
          </w:p>
        </w:tc>
        <w:tc>
          <w:tcPr>
            <w:tcW w:w="1440" w:type="dxa"/>
            <w:vMerge/>
            <w:vAlign w:val="center"/>
          </w:tcPr>
          <w:p w:rsidR="00AA0921" w:rsidRPr="00D13D4E" w:rsidRDefault="00AA0921" w:rsidP="001747A1">
            <w:pPr>
              <w:jc w:val="center"/>
              <w:rPr>
                <w:rFonts w:ascii="Calibri" w:hAnsi="Calibri"/>
                <w:b/>
                <w:szCs w:val="22"/>
              </w:rPr>
            </w:pPr>
          </w:p>
        </w:tc>
        <w:tc>
          <w:tcPr>
            <w:tcW w:w="1980" w:type="dxa"/>
          </w:tcPr>
          <w:p w:rsidR="00AA0921" w:rsidRPr="00D13D4E" w:rsidRDefault="00034481" w:rsidP="007F7260">
            <w:pPr>
              <w:jc w:val="center"/>
              <w:rPr>
                <w:rFonts w:ascii="Calibri" w:hAnsi="Calibri"/>
                <w:b/>
                <w:szCs w:val="22"/>
              </w:rPr>
            </w:pPr>
            <w:r w:rsidRPr="00D13D4E">
              <w:rPr>
                <w:rFonts w:ascii="Calibri" w:hAnsi="Calibri"/>
                <w:b/>
                <w:szCs w:val="22"/>
              </w:rPr>
              <w:t>75%</w:t>
            </w:r>
          </w:p>
        </w:tc>
      </w:tr>
      <w:tr w:rsidR="00AA0921" w:rsidRPr="00D13D4E" w:rsidTr="00C74FD7">
        <w:trPr>
          <w:jc w:val="center"/>
        </w:trPr>
        <w:tc>
          <w:tcPr>
            <w:tcW w:w="1620" w:type="dxa"/>
            <w:vMerge/>
          </w:tcPr>
          <w:p w:rsidR="00AA0921" w:rsidRPr="00D13D4E" w:rsidRDefault="00AA0921" w:rsidP="00C77ACF">
            <w:pPr>
              <w:rPr>
                <w:rFonts w:ascii="Calibri" w:hAnsi="Calibri"/>
                <w:b/>
                <w:szCs w:val="22"/>
              </w:rPr>
            </w:pPr>
          </w:p>
        </w:tc>
        <w:tc>
          <w:tcPr>
            <w:tcW w:w="2340" w:type="dxa"/>
          </w:tcPr>
          <w:p w:rsidR="00AA0921" w:rsidRPr="00D13D4E" w:rsidRDefault="00AA0921" w:rsidP="001747A1">
            <w:pPr>
              <w:rPr>
                <w:rFonts w:ascii="Calibri" w:hAnsi="Calibri"/>
                <w:szCs w:val="22"/>
              </w:rPr>
            </w:pPr>
            <w:r w:rsidRPr="00D13D4E">
              <w:rPr>
                <w:rFonts w:ascii="Calibri" w:hAnsi="Calibri"/>
                <w:bCs/>
                <w:szCs w:val="22"/>
              </w:rPr>
              <w:t>UNESCWA</w:t>
            </w:r>
          </w:p>
        </w:tc>
        <w:tc>
          <w:tcPr>
            <w:tcW w:w="2700" w:type="dxa"/>
          </w:tcPr>
          <w:p w:rsidR="00AA0921" w:rsidRPr="00D13D4E" w:rsidRDefault="00962BA2" w:rsidP="007F7260">
            <w:pPr>
              <w:rPr>
                <w:rFonts w:ascii="Calibri" w:hAnsi="Calibri"/>
                <w:b/>
                <w:szCs w:val="22"/>
              </w:rPr>
            </w:pPr>
            <w:r w:rsidRPr="00D13D4E">
              <w:rPr>
                <w:rFonts w:ascii="Calibri" w:hAnsi="Calibri"/>
                <w:b/>
                <w:szCs w:val="22"/>
              </w:rPr>
              <w:t>US$ 665,208</w:t>
            </w:r>
          </w:p>
        </w:tc>
        <w:tc>
          <w:tcPr>
            <w:tcW w:w="1440" w:type="dxa"/>
            <w:vMerge/>
          </w:tcPr>
          <w:p w:rsidR="00AA0921" w:rsidRPr="00D13D4E" w:rsidRDefault="00AA0921" w:rsidP="001747A1">
            <w:pPr>
              <w:jc w:val="center"/>
              <w:rPr>
                <w:rFonts w:ascii="Calibri" w:hAnsi="Calibri"/>
                <w:b/>
                <w:szCs w:val="22"/>
              </w:rPr>
            </w:pPr>
          </w:p>
        </w:tc>
        <w:tc>
          <w:tcPr>
            <w:tcW w:w="1980" w:type="dxa"/>
          </w:tcPr>
          <w:p w:rsidR="00AA0921" w:rsidRPr="00D13D4E" w:rsidRDefault="00962BA2" w:rsidP="007F7260">
            <w:pPr>
              <w:jc w:val="center"/>
              <w:rPr>
                <w:rFonts w:ascii="Calibri" w:hAnsi="Calibri"/>
                <w:b/>
                <w:szCs w:val="22"/>
              </w:rPr>
            </w:pPr>
            <w:r w:rsidRPr="00D13D4E">
              <w:rPr>
                <w:rFonts w:ascii="Calibri" w:hAnsi="Calibri"/>
                <w:b/>
                <w:szCs w:val="22"/>
              </w:rPr>
              <w:t>98%</w:t>
            </w:r>
          </w:p>
        </w:tc>
      </w:tr>
      <w:tr w:rsidR="00AA0921" w:rsidRPr="00D13D4E" w:rsidTr="00C74FD7">
        <w:trPr>
          <w:jc w:val="center"/>
        </w:trPr>
        <w:tc>
          <w:tcPr>
            <w:tcW w:w="1620" w:type="dxa"/>
            <w:vMerge/>
          </w:tcPr>
          <w:p w:rsidR="00AA0921" w:rsidRPr="00D13D4E" w:rsidRDefault="00AA0921" w:rsidP="00C77ACF">
            <w:pPr>
              <w:rPr>
                <w:rFonts w:ascii="Calibri" w:hAnsi="Calibri"/>
                <w:b/>
                <w:szCs w:val="22"/>
              </w:rPr>
            </w:pPr>
          </w:p>
        </w:tc>
        <w:tc>
          <w:tcPr>
            <w:tcW w:w="2340" w:type="dxa"/>
          </w:tcPr>
          <w:p w:rsidR="00AA0921" w:rsidRPr="00D13D4E" w:rsidRDefault="00AA0921" w:rsidP="00A04DBB">
            <w:pPr>
              <w:rPr>
                <w:rFonts w:ascii="Calibri" w:hAnsi="Calibri"/>
                <w:bCs/>
                <w:szCs w:val="22"/>
              </w:rPr>
            </w:pPr>
            <w:r w:rsidRPr="00D13D4E">
              <w:rPr>
                <w:rFonts w:ascii="Calibri" w:hAnsi="Calibri"/>
                <w:bCs/>
                <w:szCs w:val="22"/>
              </w:rPr>
              <w:t>UNFPA</w:t>
            </w:r>
            <w:r w:rsidR="00A04DBB">
              <w:rPr>
                <w:rStyle w:val="FootnoteReference"/>
                <w:rFonts w:ascii="Calibri" w:hAnsi="Calibri"/>
                <w:bCs/>
                <w:szCs w:val="22"/>
              </w:rPr>
              <w:footnoteReference w:id="2"/>
            </w:r>
          </w:p>
        </w:tc>
        <w:tc>
          <w:tcPr>
            <w:tcW w:w="2700" w:type="dxa"/>
          </w:tcPr>
          <w:p w:rsidR="00AA0921" w:rsidRPr="00EC6B5C" w:rsidRDefault="00EC6B5C" w:rsidP="00EC6B5C">
            <w:pPr>
              <w:rPr>
                <w:rFonts w:ascii="Calibri" w:hAnsi="Calibri"/>
                <w:b/>
                <w:szCs w:val="22"/>
              </w:rPr>
            </w:pPr>
            <w:r>
              <w:rPr>
                <w:rFonts w:ascii="Calibri" w:hAnsi="Calibri"/>
                <w:b/>
                <w:szCs w:val="22"/>
              </w:rPr>
              <w:t xml:space="preserve">US$ </w:t>
            </w:r>
            <w:r w:rsidRPr="00EC6B5C">
              <w:rPr>
                <w:rFonts w:ascii="Calibri" w:hAnsi="Calibri"/>
                <w:b/>
                <w:szCs w:val="22"/>
              </w:rPr>
              <w:t>2,051,094</w:t>
            </w:r>
          </w:p>
        </w:tc>
        <w:tc>
          <w:tcPr>
            <w:tcW w:w="1440" w:type="dxa"/>
            <w:vMerge/>
            <w:vAlign w:val="center"/>
          </w:tcPr>
          <w:p w:rsidR="00AA0921" w:rsidRPr="00D13D4E" w:rsidRDefault="00AA0921" w:rsidP="001747A1">
            <w:pPr>
              <w:jc w:val="center"/>
              <w:rPr>
                <w:rFonts w:ascii="Calibri" w:hAnsi="Calibri"/>
                <w:b/>
                <w:szCs w:val="22"/>
              </w:rPr>
            </w:pPr>
          </w:p>
        </w:tc>
        <w:tc>
          <w:tcPr>
            <w:tcW w:w="1980" w:type="dxa"/>
          </w:tcPr>
          <w:p w:rsidR="00AA0921" w:rsidRPr="00D13D4E" w:rsidRDefault="00EC6B5C" w:rsidP="007F7260">
            <w:pPr>
              <w:jc w:val="center"/>
              <w:rPr>
                <w:rFonts w:ascii="Calibri" w:hAnsi="Calibri"/>
                <w:b/>
                <w:szCs w:val="22"/>
              </w:rPr>
            </w:pPr>
            <w:r>
              <w:rPr>
                <w:rFonts w:ascii="Calibri" w:hAnsi="Calibri"/>
                <w:b/>
                <w:szCs w:val="22"/>
              </w:rPr>
              <w:t>100%</w:t>
            </w:r>
          </w:p>
        </w:tc>
      </w:tr>
      <w:tr w:rsidR="00A53734" w:rsidRPr="00D13D4E" w:rsidTr="00C74FD7">
        <w:trPr>
          <w:jc w:val="center"/>
        </w:trPr>
        <w:tc>
          <w:tcPr>
            <w:tcW w:w="1620" w:type="dxa"/>
            <w:vMerge/>
          </w:tcPr>
          <w:p w:rsidR="00A53734" w:rsidRPr="00D13D4E" w:rsidRDefault="00A53734" w:rsidP="00A53734">
            <w:pPr>
              <w:rPr>
                <w:rFonts w:ascii="Calibri" w:hAnsi="Calibri"/>
                <w:b/>
                <w:szCs w:val="22"/>
              </w:rPr>
            </w:pPr>
          </w:p>
        </w:tc>
        <w:tc>
          <w:tcPr>
            <w:tcW w:w="2340" w:type="dxa"/>
          </w:tcPr>
          <w:p w:rsidR="00A53734" w:rsidRPr="00D13D4E" w:rsidRDefault="00A53734" w:rsidP="00A53734">
            <w:pPr>
              <w:rPr>
                <w:rFonts w:ascii="Calibri" w:hAnsi="Calibri"/>
                <w:szCs w:val="22"/>
              </w:rPr>
            </w:pPr>
            <w:r w:rsidRPr="00D13D4E">
              <w:rPr>
                <w:rFonts w:ascii="Calibri" w:hAnsi="Calibri"/>
                <w:bCs/>
                <w:szCs w:val="22"/>
              </w:rPr>
              <w:t>UN-Habitat</w:t>
            </w:r>
          </w:p>
        </w:tc>
        <w:tc>
          <w:tcPr>
            <w:tcW w:w="2700" w:type="dxa"/>
          </w:tcPr>
          <w:p w:rsidR="00A53734" w:rsidRPr="00D13D4E" w:rsidRDefault="00A53734" w:rsidP="00A53734">
            <w:pPr>
              <w:rPr>
                <w:rFonts w:ascii="Calibri" w:hAnsi="Calibri"/>
                <w:b/>
                <w:szCs w:val="22"/>
              </w:rPr>
            </w:pPr>
            <w:r w:rsidRPr="00D13D4E">
              <w:rPr>
                <w:rFonts w:ascii="Calibri" w:hAnsi="Calibri"/>
                <w:b/>
                <w:szCs w:val="22"/>
              </w:rPr>
              <w:t xml:space="preserve">US$ </w:t>
            </w:r>
            <w:r w:rsidRPr="00D13D4E">
              <w:rPr>
                <w:rFonts w:ascii="Calibri" w:hAnsi="Calibri"/>
                <w:b/>
              </w:rPr>
              <w:t>2,195,653</w:t>
            </w:r>
          </w:p>
        </w:tc>
        <w:tc>
          <w:tcPr>
            <w:tcW w:w="1440" w:type="dxa"/>
            <w:vMerge/>
            <w:vAlign w:val="center"/>
          </w:tcPr>
          <w:p w:rsidR="00A53734" w:rsidRPr="00D13D4E" w:rsidRDefault="00A53734" w:rsidP="00A53734">
            <w:pPr>
              <w:jc w:val="center"/>
              <w:rPr>
                <w:rFonts w:ascii="Calibri" w:hAnsi="Calibri"/>
                <w:b/>
                <w:szCs w:val="22"/>
              </w:rPr>
            </w:pPr>
          </w:p>
        </w:tc>
        <w:tc>
          <w:tcPr>
            <w:tcW w:w="1980" w:type="dxa"/>
          </w:tcPr>
          <w:p w:rsidR="00A53734" w:rsidRPr="00D13D4E" w:rsidRDefault="00A53734" w:rsidP="00A53734">
            <w:pPr>
              <w:jc w:val="center"/>
              <w:rPr>
                <w:rFonts w:ascii="Calibri" w:hAnsi="Calibri"/>
                <w:b/>
                <w:szCs w:val="22"/>
              </w:rPr>
            </w:pPr>
            <w:r w:rsidRPr="00D13D4E">
              <w:rPr>
                <w:rFonts w:ascii="Calibri" w:hAnsi="Calibri"/>
                <w:b/>
                <w:szCs w:val="22"/>
              </w:rPr>
              <w:t>97%</w:t>
            </w:r>
          </w:p>
        </w:tc>
      </w:tr>
      <w:tr w:rsidR="00A53734" w:rsidRPr="00D13D4E" w:rsidTr="00C74FD7">
        <w:trPr>
          <w:jc w:val="center"/>
        </w:trPr>
        <w:tc>
          <w:tcPr>
            <w:tcW w:w="1620" w:type="dxa"/>
            <w:vMerge/>
          </w:tcPr>
          <w:p w:rsidR="00A53734" w:rsidRPr="00D13D4E" w:rsidRDefault="00A53734" w:rsidP="00A53734">
            <w:pPr>
              <w:rPr>
                <w:rFonts w:ascii="Calibri" w:hAnsi="Calibri"/>
                <w:b/>
                <w:szCs w:val="22"/>
              </w:rPr>
            </w:pPr>
          </w:p>
        </w:tc>
        <w:tc>
          <w:tcPr>
            <w:tcW w:w="2340" w:type="dxa"/>
          </w:tcPr>
          <w:p w:rsidR="00A53734" w:rsidRPr="00D13D4E" w:rsidRDefault="00A53734" w:rsidP="00A53734">
            <w:pPr>
              <w:rPr>
                <w:rFonts w:ascii="Calibri" w:hAnsi="Calibri"/>
                <w:szCs w:val="22"/>
              </w:rPr>
            </w:pPr>
            <w:r w:rsidRPr="00D13D4E">
              <w:rPr>
                <w:rFonts w:ascii="Calibri" w:hAnsi="Calibri"/>
                <w:bCs/>
                <w:szCs w:val="22"/>
              </w:rPr>
              <w:t>UNICEF</w:t>
            </w:r>
          </w:p>
        </w:tc>
        <w:tc>
          <w:tcPr>
            <w:tcW w:w="2700" w:type="dxa"/>
          </w:tcPr>
          <w:p w:rsidR="00A53734" w:rsidRPr="00D13D4E" w:rsidRDefault="009E124A" w:rsidP="00A53734">
            <w:pPr>
              <w:rPr>
                <w:rFonts w:ascii="Calibri" w:hAnsi="Calibri"/>
                <w:b/>
                <w:szCs w:val="22"/>
              </w:rPr>
            </w:pPr>
            <w:r w:rsidRPr="00D13D4E">
              <w:rPr>
                <w:rFonts w:ascii="Calibri" w:hAnsi="Calibri"/>
                <w:b/>
                <w:szCs w:val="22"/>
              </w:rPr>
              <w:t>US$ 2,681,048.68</w:t>
            </w:r>
          </w:p>
        </w:tc>
        <w:tc>
          <w:tcPr>
            <w:tcW w:w="1440" w:type="dxa"/>
            <w:vMerge/>
            <w:vAlign w:val="center"/>
          </w:tcPr>
          <w:p w:rsidR="00A53734" w:rsidRPr="00D13D4E" w:rsidRDefault="00A53734" w:rsidP="00A53734">
            <w:pPr>
              <w:jc w:val="center"/>
              <w:rPr>
                <w:rFonts w:ascii="Calibri" w:hAnsi="Calibri"/>
                <w:b/>
                <w:szCs w:val="22"/>
              </w:rPr>
            </w:pPr>
          </w:p>
        </w:tc>
        <w:tc>
          <w:tcPr>
            <w:tcW w:w="1980" w:type="dxa"/>
          </w:tcPr>
          <w:p w:rsidR="00A53734" w:rsidRPr="00D13D4E" w:rsidRDefault="009E124A" w:rsidP="00A53734">
            <w:pPr>
              <w:jc w:val="center"/>
              <w:rPr>
                <w:rFonts w:ascii="Calibri" w:hAnsi="Calibri"/>
                <w:b/>
                <w:szCs w:val="22"/>
              </w:rPr>
            </w:pPr>
            <w:r w:rsidRPr="00D13D4E">
              <w:rPr>
                <w:rFonts w:ascii="Calibri" w:hAnsi="Calibri"/>
                <w:b/>
                <w:szCs w:val="22"/>
              </w:rPr>
              <w:t>80%</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szCs w:val="22"/>
              </w:rPr>
            </w:pPr>
            <w:r w:rsidRPr="00D13D4E">
              <w:rPr>
                <w:rFonts w:ascii="Calibri" w:hAnsi="Calibri"/>
                <w:bCs/>
                <w:szCs w:val="22"/>
              </w:rPr>
              <w:t>UNWOMEN</w:t>
            </w:r>
          </w:p>
        </w:tc>
        <w:tc>
          <w:tcPr>
            <w:tcW w:w="2700" w:type="dxa"/>
          </w:tcPr>
          <w:p w:rsidR="008655B1" w:rsidRPr="00D13D4E" w:rsidRDefault="008655B1" w:rsidP="008655B1">
            <w:pPr>
              <w:rPr>
                <w:rFonts w:ascii="Calibri" w:hAnsi="Calibri"/>
                <w:b/>
                <w:szCs w:val="22"/>
              </w:rPr>
            </w:pPr>
            <w:r w:rsidRPr="00D13D4E">
              <w:rPr>
                <w:rFonts w:ascii="Calibri" w:hAnsi="Calibri"/>
                <w:b/>
                <w:szCs w:val="22"/>
              </w:rPr>
              <w:t>US$ 1,241,932</w:t>
            </w:r>
          </w:p>
        </w:tc>
        <w:tc>
          <w:tcPr>
            <w:tcW w:w="1440" w:type="dxa"/>
            <w:vMerge/>
            <w:vAlign w:val="center"/>
          </w:tcPr>
          <w:p w:rsidR="008655B1" w:rsidRPr="00D13D4E" w:rsidRDefault="008655B1" w:rsidP="008655B1">
            <w:pPr>
              <w:jc w:val="center"/>
              <w:rPr>
                <w:rFonts w:ascii="Calibri" w:hAnsi="Calibri"/>
                <w:b/>
                <w:szCs w:val="22"/>
              </w:rPr>
            </w:pPr>
          </w:p>
        </w:tc>
        <w:tc>
          <w:tcPr>
            <w:tcW w:w="1980" w:type="dxa"/>
          </w:tcPr>
          <w:p w:rsidR="008655B1" w:rsidRPr="00D13D4E" w:rsidRDefault="008655B1" w:rsidP="008655B1">
            <w:pPr>
              <w:jc w:val="center"/>
              <w:rPr>
                <w:rFonts w:ascii="Calibri" w:hAnsi="Calibri"/>
                <w:b/>
                <w:szCs w:val="22"/>
              </w:rPr>
            </w:pPr>
            <w:r w:rsidRPr="00D13D4E">
              <w:rPr>
                <w:rFonts w:ascii="Calibri" w:hAnsi="Calibri"/>
                <w:b/>
                <w:szCs w:val="22"/>
              </w:rPr>
              <w:t>100%</w:t>
            </w:r>
          </w:p>
        </w:tc>
      </w:tr>
      <w:tr w:rsidR="008655B1" w:rsidRPr="00D13D4E" w:rsidTr="000F30DD">
        <w:trPr>
          <w:jc w:val="center"/>
        </w:trPr>
        <w:tc>
          <w:tcPr>
            <w:tcW w:w="1620" w:type="dxa"/>
            <w:vMerge/>
          </w:tcPr>
          <w:p w:rsidR="008655B1" w:rsidRPr="00D13D4E" w:rsidRDefault="008655B1" w:rsidP="008655B1">
            <w:pPr>
              <w:rPr>
                <w:rFonts w:ascii="Calibri" w:hAnsi="Calibri"/>
                <w:b/>
                <w:szCs w:val="22"/>
              </w:rPr>
            </w:pPr>
          </w:p>
        </w:tc>
        <w:tc>
          <w:tcPr>
            <w:tcW w:w="2340" w:type="dxa"/>
            <w:tcBorders>
              <w:bottom w:val="single" w:sz="4" w:space="0" w:color="auto"/>
            </w:tcBorders>
          </w:tcPr>
          <w:p w:rsidR="008655B1" w:rsidRPr="00D13D4E" w:rsidRDefault="008655B1" w:rsidP="008655B1">
            <w:pPr>
              <w:rPr>
                <w:rFonts w:ascii="Calibri" w:hAnsi="Calibri"/>
                <w:szCs w:val="22"/>
              </w:rPr>
            </w:pPr>
            <w:r w:rsidRPr="00D13D4E">
              <w:rPr>
                <w:rFonts w:ascii="Calibri" w:hAnsi="Calibri"/>
                <w:bCs/>
                <w:szCs w:val="22"/>
              </w:rPr>
              <w:t>WHO</w:t>
            </w:r>
          </w:p>
        </w:tc>
        <w:tc>
          <w:tcPr>
            <w:tcW w:w="2700" w:type="dxa"/>
            <w:tcBorders>
              <w:bottom w:val="single" w:sz="4" w:space="0" w:color="auto"/>
            </w:tcBorders>
          </w:tcPr>
          <w:p w:rsidR="008655B1" w:rsidRPr="00D13D4E" w:rsidRDefault="008655B1" w:rsidP="008655B1">
            <w:pPr>
              <w:rPr>
                <w:rFonts w:ascii="Calibri" w:hAnsi="Calibri"/>
                <w:b/>
                <w:szCs w:val="22"/>
              </w:rPr>
            </w:pPr>
            <w:r w:rsidRPr="00D13D4E">
              <w:rPr>
                <w:rFonts w:ascii="Calibri" w:hAnsi="Calibri"/>
                <w:b/>
                <w:szCs w:val="22"/>
              </w:rPr>
              <w:t>US$ 1,660,655</w:t>
            </w:r>
          </w:p>
        </w:tc>
        <w:tc>
          <w:tcPr>
            <w:tcW w:w="1440" w:type="dxa"/>
            <w:vMerge/>
            <w:vAlign w:val="center"/>
          </w:tcPr>
          <w:p w:rsidR="008655B1" w:rsidRPr="00D13D4E" w:rsidRDefault="008655B1" w:rsidP="008655B1">
            <w:pPr>
              <w:jc w:val="center"/>
              <w:rPr>
                <w:rFonts w:ascii="Calibri" w:hAnsi="Calibri"/>
                <w:b/>
                <w:szCs w:val="22"/>
              </w:rPr>
            </w:pPr>
          </w:p>
        </w:tc>
        <w:tc>
          <w:tcPr>
            <w:tcW w:w="1980" w:type="dxa"/>
            <w:tcBorders>
              <w:bottom w:val="single" w:sz="4" w:space="0" w:color="auto"/>
            </w:tcBorders>
          </w:tcPr>
          <w:p w:rsidR="008655B1" w:rsidRPr="00D13D4E" w:rsidRDefault="008655B1" w:rsidP="008655B1">
            <w:pPr>
              <w:jc w:val="center"/>
              <w:rPr>
                <w:rFonts w:ascii="Calibri" w:hAnsi="Calibri"/>
                <w:b/>
                <w:szCs w:val="22"/>
              </w:rPr>
            </w:pPr>
            <w:r w:rsidRPr="00D13D4E">
              <w:rPr>
                <w:rFonts w:ascii="Calibri" w:hAnsi="Calibri"/>
                <w:b/>
                <w:szCs w:val="22"/>
              </w:rPr>
              <w:t>54%</w:t>
            </w:r>
          </w:p>
        </w:tc>
      </w:tr>
      <w:tr w:rsidR="008655B1" w:rsidRPr="00D13D4E" w:rsidTr="000F30DD">
        <w:trPr>
          <w:trHeight w:val="314"/>
          <w:jc w:val="center"/>
        </w:trPr>
        <w:tc>
          <w:tcPr>
            <w:tcW w:w="1620" w:type="dxa"/>
            <w:vMerge/>
          </w:tcPr>
          <w:p w:rsidR="008655B1" w:rsidRPr="00D13D4E" w:rsidRDefault="008655B1" w:rsidP="008655B1">
            <w:pPr>
              <w:rPr>
                <w:rFonts w:ascii="Calibri" w:hAnsi="Calibri"/>
                <w:b/>
                <w:szCs w:val="22"/>
              </w:rPr>
            </w:pPr>
          </w:p>
        </w:tc>
        <w:tc>
          <w:tcPr>
            <w:tcW w:w="2340" w:type="dxa"/>
            <w:shd w:val="clear" w:color="auto" w:fill="F2F2F2" w:themeFill="background1" w:themeFillShade="F2"/>
            <w:vAlign w:val="center"/>
          </w:tcPr>
          <w:p w:rsidR="008655B1" w:rsidRPr="00D13D4E" w:rsidRDefault="008655B1" w:rsidP="008655B1">
            <w:pPr>
              <w:rPr>
                <w:rFonts w:ascii="Calibri" w:hAnsi="Calibri"/>
                <w:b/>
                <w:szCs w:val="22"/>
              </w:rPr>
            </w:pPr>
            <w:r w:rsidRPr="00D13D4E">
              <w:rPr>
                <w:rFonts w:ascii="Calibri" w:hAnsi="Calibri"/>
                <w:b/>
                <w:szCs w:val="22"/>
              </w:rPr>
              <w:t>Total Commitments</w:t>
            </w:r>
          </w:p>
        </w:tc>
        <w:tc>
          <w:tcPr>
            <w:tcW w:w="2700" w:type="dxa"/>
            <w:shd w:val="clear" w:color="auto" w:fill="F2F2F2" w:themeFill="background1" w:themeFillShade="F2"/>
            <w:vAlign w:val="center"/>
          </w:tcPr>
          <w:p w:rsidR="008655B1" w:rsidRPr="00D13D4E" w:rsidRDefault="00145424" w:rsidP="008655B1">
            <w:pPr>
              <w:rPr>
                <w:rFonts w:ascii="Calibri" w:hAnsi="Calibri"/>
                <w:b/>
                <w:szCs w:val="22"/>
              </w:rPr>
            </w:pPr>
            <w:r>
              <w:rPr>
                <w:rFonts w:ascii="Calibri" w:hAnsi="Calibri"/>
                <w:b/>
                <w:szCs w:val="22"/>
              </w:rPr>
              <w:t xml:space="preserve">US$ </w:t>
            </w:r>
            <w:r w:rsidRPr="00145424">
              <w:rPr>
                <w:rFonts w:ascii="Calibri" w:hAnsi="Calibri"/>
                <w:b/>
                <w:szCs w:val="22"/>
              </w:rPr>
              <w:t>17</w:t>
            </w:r>
            <w:r>
              <w:rPr>
                <w:rFonts w:ascii="Calibri" w:hAnsi="Calibri"/>
                <w:b/>
                <w:szCs w:val="22"/>
              </w:rPr>
              <w:t>,</w:t>
            </w:r>
            <w:r w:rsidRPr="00145424">
              <w:rPr>
                <w:rFonts w:ascii="Calibri" w:hAnsi="Calibri"/>
                <w:b/>
                <w:szCs w:val="22"/>
              </w:rPr>
              <w:t>459</w:t>
            </w:r>
            <w:r>
              <w:rPr>
                <w:rFonts w:ascii="Calibri" w:hAnsi="Calibri"/>
                <w:b/>
                <w:szCs w:val="22"/>
              </w:rPr>
              <w:t>,</w:t>
            </w:r>
            <w:r w:rsidRPr="00145424">
              <w:rPr>
                <w:rFonts w:ascii="Calibri" w:hAnsi="Calibri"/>
                <w:b/>
                <w:szCs w:val="22"/>
              </w:rPr>
              <w:t>422.68</w:t>
            </w:r>
          </w:p>
        </w:tc>
        <w:tc>
          <w:tcPr>
            <w:tcW w:w="1440" w:type="dxa"/>
            <w:vMerge/>
            <w:vAlign w:val="center"/>
          </w:tcPr>
          <w:p w:rsidR="008655B1" w:rsidRPr="00D13D4E" w:rsidRDefault="008655B1" w:rsidP="008655B1">
            <w:pPr>
              <w:jc w:val="center"/>
              <w:rPr>
                <w:rFonts w:ascii="Calibri" w:hAnsi="Calibri"/>
                <w:b/>
                <w:szCs w:val="22"/>
              </w:rPr>
            </w:pPr>
          </w:p>
        </w:tc>
        <w:tc>
          <w:tcPr>
            <w:tcW w:w="1980" w:type="dxa"/>
            <w:shd w:val="clear" w:color="auto" w:fill="F2F2F2" w:themeFill="background1" w:themeFillShade="F2"/>
            <w:vAlign w:val="center"/>
          </w:tcPr>
          <w:p w:rsidR="008655B1" w:rsidRPr="00D13D4E" w:rsidRDefault="00540FE9" w:rsidP="008655B1">
            <w:pPr>
              <w:jc w:val="center"/>
              <w:rPr>
                <w:rFonts w:ascii="Calibri" w:hAnsi="Calibri"/>
                <w:b/>
                <w:bCs/>
              </w:rPr>
            </w:pPr>
            <w:r>
              <w:rPr>
                <w:rFonts w:ascii="Calibri" w:hAnsi="Calibri"/>
                <w:b/>
                <w:bCs/>
              </w:rPr>
              <w:t>85%</w:t>
            </w:r>
          </w:p>
        </w:tc>
      </w:tr>
      <w:tr w:rsidR="008655B1" w:rsidRPr="00D13D4E" w:rsidTr="00C74FD7">
        <w:trPr>
          <w:jc w:val="center"/>
        </w:trPr>
        <w:tc>
          <w:tcPr>
            <w:tcW w:w="1620" w:type="dxa"/>
            <w:vMerge w:val="restart"/>
          </w:tcPr>
          <w:p w:rsidR="008655B1" w:rsidRPr="00D13D4E" w:rsidRDefault="008655B1" w:rsidP="008655B1">
            <w:pPr>
              <w:rPr>
                <w:rFonts w:ascii="Calibri" w:hAnsi="Calibri"/>
                <w:b/>
                <w:szCs w:val="22"/>
              </w:rPr>
            </w:pPr>
            <w:r w:rsidRPr="00D13D4E">
              <w:rPr>
                <w:rFonts w:ascii="Calibri" w:hAnsi="Calibri"/>
                <w:b/>
                <w:szCs w:val="22"/>
              </w:rPr>
              <w:t>Funds Disbursed</w:t>
            </w:r>
          </w:p>
        </w:tc>
        <w:tc>
          <w:tcPr>
            <w:tcW w:w="2340" w:type="dxa"/>
          </w:tcPr>
          <w:p w:rsidR="008655B1" w:rsidRPr="00D13D4E" w:rsidRDefault="008655B1" w:rsidP="008655B1">
            <w:pPr>
              <w:rPr>
                <w:rFonts w:ascii="Calibri" w:hAnsi="Calibri"/>
                <w:szCs w:val="22"/>
              </w:rPr>
            </w:pPr>
            <w:r w:rsidRPr="00D13D4E">
              <w:rPr>
                <w:rFonts w:ascii="Calibri" w:hAnsi="Calibri"/>
                <w:bCs/>
                <w:szCs w:val="22"/>
              </w:rPr>
              <w:t>UNDP</w:t>
            </w:r>
          </w:p>
        </w:tc>
        <w:tc>
          <w:tcPr>
            <w:tcW w:w="2700" w:type="dxa"/>
          </w:tcPr>
          <w:p w:rsidR="008655B1" w:rsidRPr="00D13D4E" w:rsidRDefault="008655B1" w:rsidP="008655B1">
            <w:pPr>
              <w:rPr>
                <w:rFonts w:ascii="Calibri" w:hAnsi="Calibri"/>
                <w:b/>
                <w:szCs w:val="22"/>
              </w:rPr>
            </w:pPr>
            <w:r w:rsidRPr="00D13D4E">
              <w:rPr>
                <w:rFonts w:ascii="Calibri" w:hAnsi="Calibri"/>
                <w:b/>
                <w:szCs w:val="22"/>
              </w:rPr>
              <w:t>US$ 4,374,425.28</w:t>
            </w:r>
          </w:p>
        </w:tc>
        <w:tc>
          <w:tcPr>
            <w:tcW w:w="1440" w:type="dxa"/>
            <w:vMerge w:val="restart"/>
            <w:textDirection w:val="btLr"/>
            <w:vAlign w:val="center"/>
          </w:tcPr>
          <w:p w:rsidR="008655B1" w:rsidRPr="00D13D4E" w:rsidRDefault="008655B1" w:rsidP="008655B1">
            <w:pPr>
              <w:ind w:left="113" w:right="113"/>
              <w:jc w:val="center"/>
              <w:rPr>
                <w:rFonts w:ascii="Calibri" w:hAnsi="Calibri"/>
                <w:b/>
                <w:szCs w:val="22"/>
              </w:rPr>
            </w:pPr>
            <w:r w:rsidRPr="00D13D4E">
              <w:rPr>
                <w:rFonts w:ascii="Calibri" w:hAnsi="Calibri"/>
                <w:b/>
                <w:szCs w:val="22"/>
              </w:rPr>
              <w:t>% of approved</w:t>
            </w:r>
          </w:p>
        </w:tc>
        <w:tc>
          <w:tcPr>
            <w:tcW w:w="1980" w:type="dxa"/>
          </w:tcPr>
          <w:p w:rsidR="008655B1" w:rsidRPr="00D13D4E" w:rsidRDefault="008655B1" w:rsidP="008655B1">
            <w:pPr>
              <w:jc w:val="center"/>
              <w:rPr>
                <w:rFonts w:ascii="Calibri" w:hAnsi="Calibri"/>
                <w:b/>
                <w:szCs w:val="22"/>
              </w:rPr>
            </w:pPr>
            <w:r w:rsidRPr="00D13D4E">
              <w:rPr>
                <w:rFonts w:ascii="Calibri" w:hAnsi="Calibri"/>
                <w:b/>
                <w:szCs w:val="22"/>
              </w:rPr>
              <w:t>81%</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szCs w:val="22"/>
              </w:rPr>
            </w:pPr>
            <w:r w:rsidRPr="00D13D4E">
              <w:rPr>
                <w:rFonts w:ascii="Calibri" w:hAnsi="Calibri"/>
                <w:bCs/>
                <w:szCs w:val="22"/>
              </w:rPr>
              <w:t>UNESCO</w:t>
            </w:r>
          </w:p>
        </w:tc>
        <w:tc>
          <w:tcPr>
            <w:tcW w:w="2700" w:type="dxa"/>
          </w:tcPr>
          <w:p w:rsidR="008655B1" w:rsidRPr="00D13D4E" w:rsidRDefault="008655B1" w:rsidP="008655B1">
            <w:pPr>
              <w:rPr>
                <w:rFonts w:ascii="Calibri" w:hAnsi="Calibri"/>
                <w:b/>
                <w:szCs w:val="22"/>
              </w:rPr>
            </w:pPr>
            <w:r w:rsidRPr="00D13D4E">
              <w:rPr>
                <w:rFonts w:ascii="Calibri" w:hAnsi="Calibri"/>
                <w:b/>
                <w:szCs w:val="22"/>
              </w:rPr>
              <w:t>US$ 1,752,025</w:t>
            </w:r>
          </w:p>
        </w:tc>
        <w:tc>
          <w:tcPr>
            <w:tcW w:w="1440" w:type="dxa"/>
            <w:vMerge/>
          </w:tcPr>
          <w:p w:rsidR="008655B1" w:rsidRPr="00D13D4E" w:rsidRDefault="008655B1" w:rsidP="008655B1">
            <w:pPr>
              <w:rPr>
                <w:rFonts w:ascii="Calibri" w:hAnsi="Calibri"/>
                <w:b/>
                <w:szCs w:val="22"/>
              </w:rPr>
            </w:pPr>
          </w:p>
        </w:tc>
        <w:tc>
          <w:tcPr>
            <w:tcW w:w="1980" w:type="dxa"/>
          </w:tcPr>
          <w:p w:rsidR="008655B1" w:rsidRPr="00D13D4E" w:rsidRDefault="008655B1" w:rsidP="008655B1">
            <w:pPr>
              <w:jc w:val="center"/>
              <w:rPr>
                <w:rFonts w:ascii="Calibri" w:hAnsi="Calibri"/>
                <w:b/>
                <w:szCs w:val="22"/>
              </w:rPr>
            </w:pPr>
            <w:r w:rsidRPr="00D13D4E">
              <w:rPr>
                <w:rFonts w:ascii="Calibri" w:hAnsi="Calibri"/>
                <w:b/>
                <w:szCs w:val="22"/>
              </w:rPr>
              <w:t>68%</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szCs w:val="22"/>
              </w:rPr>
            </w:pPr>
            <w:r w:rsidRPr="00D13D4E">
              <w:rPr>
                <w:rFonts w:ascii="Calibri" w:hAnsi="Calibri"/>
                <w:bCs/>
                <w:szCs w:val="22"/>
              </w:rPr>
              <w:t>UNESCWA</w:t>
            </w:r>
          </w:p>
        </w:tc>
        <w:tc>
          <w:tcPr>
            <w:tcW w:w="2700" w:type="dxa"/>
          </w:tcPr>
          <w:p w:rsidR="008655B1" w:rsidRPr="00D13D4E" w:rsidRDefault="008655B1" w:rsidP="008655B1">
            <w:pPr>
              <w:rPr>
                <w:rFonts w:ascii="Calibri" w:hAnsi="Calibri"/>
                <w:b/>
                <w:szCs w:val="22"/>
              </w:rPr>
            </w:pPr>
            <w:r w:rsidRPr="00D13D4E">
              <w:rPr>
                <w:rFonts w:ascii="Calibri" w:hAnsi="Calibri"/>
                <w:b/>
                <w:szCs w:val="22"/>
              </w:rPr>
              <w:t>US$ 563,323</w:t>
            </w:r>
          </w:p>
        </w:tc>
        <w:tc>
          <w:tcPr>
            <w:tcW w:w="1440" w:type="dxa"/>
            <w:vMerge/>
          </w:tcPr>
          <w:p w:rsidR="008655B1" w:rsidRPr="00D13D4E" w:rsidRDefault="008655B1" w:rsidP="008655B1">
            <w:pPr>
              <w:rPr>
                <w:rFonts w:ascii="Calibri" w:hAnsi="Calibri"/>
                <w:b/>
                <w:szCs w:val="22"/>
              </w:rPr>
            </w:pPr>
          </w:p>
        </w:tc>
        <w:tc>
          <w:tcPr>
            <w:tcW w:w="1980" w:type="dxa"/>
          </w:tcPr>
          <w:p w:rsidR="008655B1" w:rsidRPr="00D13D4E" w:rsidRDefault="008655B1" w:rsidP="008655B1">
            <w:pPr>
              <w:jc w:val="center"/>
              <w:rPr>
                <w:rFonts w:ascii="Calibri" w:hAnsi="Calibri"/>
                <w:b/>
                <w:szCs w:val="22"/>
              </w:rPr>
            </w:pPr>
            <w:r w:rsidRPr="00D13D4E">
              <w:rPr>
                <w:rFonts w:ascii="Calibri" w:hAnsi="Calibri"/>
                <w:b/>
                <w:szCs w:val="22"/>
              </w:rPr>
              <w:t>83%</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bCs/>
                <w:szCs w:val="22"/>
              </w:rPr>
            </w:pPr>
            <w:r w:rsidRPr="00D13D4E">
              <w:rPr>
                <w:rFonts w:ascii="Calibri" w:hAnsi="Calibri"/>
                <w:bCs/>
                <w:szCs w:val="22"/>
              </w:rPr>
              <w:t>UNFPA</w:t>
            </w:r>
          </w:p>
        </w:tc>
        <w:tc>
          <w:tcPr>
            <w:tcW w:w="2700" w:type="dxa"/>
          </w:tcPr>
          <w:p w:rsidR="008655B1" w:rsidRPr="004741AB" w:rsidRDefault="004741AB" w:rsidP="004741AB">
            <w:pPr>
              <w:rPr>
                <w:rFonts w:ascii="Calibri" w:hAnsi="Calibri"/>
                <w:b/>
                <w:szCs w:val="22"/>
              </w:rPr>
            </w:pPr>
            <w:r>
              <w:rPr>
                <w:rFonts w:ascii="Calibri" w:hAnsi="Calibri"/>
                <w:b/>
                <w:szCs w:val="22"/>
              </w:rPr>
              <w:t xml:space="preserve">US$ </w:t>
            </w:r>
            <w:r w:rsidRPr="004741AB">
              <w:rPr>
                <w:rFonts w:ascii="Calibri" w:hAnsi="Calibri"/>
                <w:b/>
                <w:szCs w:val="22"/>
              </w:rPr>
              <w:t>1,625,016.00</w:t>
            </w:r>
          </w:p>
        </w:tc>
        <w:tc>
          <w:tcPr>
            <w:tcW w:w="1440" w:type="dxa"/>
            <w:vMerge/>
          </w:tcPr>
          <w:p w:rsidR="008655B1" w:rsidRPr="00D13D4E" w:rsidRDefault="008655B1" w:rsidP="008655B1">
            <w:pPr>
              <w:rPr>
                <w:rFonts w:ascii="Calibri" w:hAnsi="Calibri"/>
                <w:b/>
                <w:szCs w:val="22"/>
              </w:rPr>
            </w:pPr>
          </w:p>
        </w:tc>
        <w:tc>
          <w:tcPr>
            <w:tcW w:w="1980" w:type="dxa"/>
          </w:tcPr>
          <w:p w:rsidR="008655B1" w:rsidRPr="00D13D4E" w:rsidRDefault="00901289" w:rsidP="008655B1">
            <w:pPr>
              <w:jc w:val="center"/>
              <w:rPr>
                <w:rFonts w:ascii="Calibri" w:hAnsi="Calibri"/>
                <w:b/>
                <w:szCs w:val="22"/>
              </w:rPr>
            </w:pPr>
            <w:r>
              <w:rPr>
                <w:rFonts w:ascii="Calibri" w:hAnsi="Calibri"/>
                <w:b/>
                <w:szCs w:val="22"/>
              </w:rPr>
              <w:t>79%</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szCs w:val="22"/>
              </w:rPr>
            </w:pPr>
            <w:r w:rsidRPr="00D13D4E">
              <w:rPr>
                <w:rFonts w:ascii="Calibri" w:hAnsi="Calibri"/>
                <w:bCs/>
                <w:szCs w:val="22"/>
              </w:rPr>
              <w:t>UN-Habitat</w:t>
            </w:r>
          </w:p>
        </w:tc>
        <w:tc>
          <w:tcPr>
            <w:tcW w:w="2700" w:type="dxa"/>
          </w:tcPr>
          <w:p w:rsidR="008655B1" w:rsidRPr="00D13D4E" w:rsidRDefault="008655B1" w:rsidP="008655B1">
            <w:pPr>
              <w:rPr>
                <w:rFonts w:ascii="Calibri" w:hAnsi="Calibri"/>
                <w:b/>
                <w:szCs w:val="22"/>
              </w:rPr>
            </w:pPr>
            <w:r w:rsidRPr="00D13D4E">
              <w:rPr>
                <w:rFonts w:ascii="Calibri" w:hAnsi="Calibri"/>
                <w:b/>
                <w:szCs w:val="22"/>
              </w:rPr>
              <w:t>US$ 1,743,201</w:t>
            </w:r>
          </w:p>
        </w:tc>
        <w:tc>
          <w:tcPr>
            <w:tcW w:w="1440" w:type="dxa"/>
            <w:vMerge/>
          </w:tcPr>
          <w:p w:rsidR="008655B1" w:rsidRPr="00D13D4E" w:rsidRDefault="008655B1" w:rsidP="008655B1">
            <w:pPr>
              <w:rPr>
                <w:rFonts w:ascii="Calibri" w:hAnsi="Calibri"/>
                <w:b/>
                <w:szCs w:val="22"/>
              </w:rPr>
            </w:pPr>
          </w:p>
        </w:tc>
        <w:tc>
          <w:tcPr>
            <w:tcW w:w="1980" w:type="dxa"/>
          </w:tcPr>
          <w:p w:rsidR="008655B1" w:rsidRPr="00D13D4E" w:rsidRDefault="008655B1" w:rsidP="008655B1">
            <w:pPr>
              <w:jc w:val="center"/>
              <w:rPr>
                <w:rFonts w:ascii="Calibri" w:hAnsi="Calibri"/>
                <w:b/>
                <w:szCs w:val="22"/>
              </w:rPr>
            </w:pPr>
            <w:r w:rsidRPr="00D13D4E">
              <w:rPr>
                <w:rFonts w:ascii="Calibri" w:hAnsi="Calibri"/>
                <w:b/>
                <w:szCs w:val="22"/>
              </w:rPr>
              <w:t>77%</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szCs w:val="22"/>
              </w:rPr>
            </w:pPr>
            <w:r w:rsidRPr="00D13D4E">
              <w:rPr>
                <w:rFonts w:ascii="Calibri" w:hAnsi="Calibri"/>
                <w:bCs/>
                <w:szCs w:val="22"/>
              </w:rPr>
              <w:t>UNICEF</w:t>
            </w:r>
          </w:p>
        </w:tc>
        <w:tc>
          <w:tcPr>
            <w:tcW w:w="2700" w:type="dxa"/>
          </w:tcPr>
          <w:p w:rsidR="008655B1" w:rsidRPr="00D13D4E" w:rsidRDefault="008655B1" w:rsidP="008655B1">
            <w:pPr>
              <w:rPr>
                <w:rFonts w:ascii="Calibri" w:hAnsi="Calibri"/>
                <w:b/>
                <w:szCs w:val="22"/>
              </w:rPr>
            </w:pPr>
            <w:r w:rsidRPr="00D13D4E">
              <w:rPr>
                <w:rFonts w:ascii="Calibri" w:hAnsi="Calibri"/>
                <w:b/>
                <w:szCs w:val="22"/>
              </w:rPr>
              <w:t>US$ 1,973,675.99</w:t>
            </w:r>
          </w:p>
        </w:tc>
        <w:tc>
          <w:tcPr>
            <w:tcW w:w="1440" w:type="dxa"/>
            <w:vMerge/>
          </w:tcPr>
          <w:p w:rsidR="008655B1" w:rsidRPr="00D13D4E" w:rsidRDefault="008655B1" w:rsidP="008655B1">
            <w:pPr>
              <w:rPr>
                <w:rFonts w:ascii="Calibri" w:hAnsi="Calibri"/>
                <w:b/>
                <w:szCs w:val="22"/>
              </w:rPr>
            </w:pPr>
          </w:p>
        </w:tc>
        <w:tc>
          <w:tcPr>
            <w:tcW w:w="1980" w:type="dxa"/>
          </w:tcPr>
          <w:p w:rsidR="008655B1" w:rsidRPr="00D13D4E" w:rsidRDefault="008655B1" w:rsidP="008655B1">
            <w:pPr>
              <w:jc w:val="center"/>
              <w:rPr>
                <w:rFonts w:ascii="Calibri" w:hAnsi="Calibri"/>
                <w:b/>
                <w:szCs w:val="22"/>
              </w:rPr>
            </w:pPr>
            <w:r w:rsidRPr="00D13D4E">
              <w:rPr>
                <w:rFonts w:ascii="Calibri" w:hAnsi="Calibri"/>
                <w:b/>
                <w:szCs w:val="22"/>
              </w:rPr>
              <w:t>59%</w:t>
            </w:r>
          </w:p>
        </w:tc>
      </w:tr>
      <w:tr w:rsidR="008655B1" w:rsidRPr="00D13D4E" w:rsidTr="00C74FD7">
        <w:trPr>
          <w:jc w:val="center"/>
        </w:trPr>
        <w:tc>
          <w:tcPr>
            <w:tcW w:w="1620" w:type="dxa"/>
            <w:vMerge/>
          </w:tcPr>
          <w:p w:rsidR="008655B1" w:rsidRPr="00D13D4E" w:rsidRDefault="008655B1" w:rsidP="008655B1">
            <w:pPr>
              <w:rPr>
                <w:rFonts w:ascii="Calibri" w:hAnsi="Calibri"/>
                <w:b/>
                <w:szCs w:val="22"/>
              </w:rPr>
            </w:pPr>
          </w:p>
        </w:tc>
        <w:tc>
          <w:tcPr>
            <w:tcW w:w="2340" w:type="dxa"/>
          </w:tcPr>
          <w:p w:rsidR="008655B1" w:rsidRPr="00D13D4E" w:rsidRDefault="008655B1" w:rsidP="008655B1">
            <w:pPr>
              <w:rPr>
                <w:rFonts w:ascii="Calibri" w:hAnsi="Calibri"/>
                <w:szCs w:val="22"/>
              </w:rPr>
            </w:pPr>
            <w:r w:rsidRPr="00D13D4E">
              <w:rPr>
                <w:rFonts w:ascii="Calibri" w:hAnsi="Calibri"/>
                <w:bCs/>
                <w:szCs w:val="22"/>
              </w:rPr>
              <w:t>UNWOMEN</w:t>
            </w:r>
          </w:p>
        </w:tc>
        <w:tc>
          <w:tcPr>
            <w:tcW w:w="2700" w:type="dxa"/>
          </w:tcPr>
          <w:p w:rsidR="008655B1" w:rsidRPr="00D13D4E" w:rsidRDefault="007F2E2E" w:rsidP="008655B1">
            <w:pPr>
              <w:rPr>
                <w:rFonts w:ascii="Calibri" w:hAnsi="Calibri"/>
                <w:b/>
                <w:szCs w:val="22"/>
              </w:rPr>
            </w:pPr>
            <w:r w:rsidRPr="00D13D4E">
              <w:rPr>
                <w:rFonts w:ascii="Calibri" w:hAnsi="Calibri"/>
                <w:b/>
                <w:szCs w:val="22"/>
              </w:rPr>
              <w:t>US$ 1,020,131</w:t>
            </w:r>
          </w:p>
        </w:tc>
        <w:tc>
          <w:tcPr>
            <w:tcW w:w="1440" w:type="dxa"/>
            <w:vMerge/>
          </w:tcPr>
          <w:p w:rsidR="008655B1" w:rsidRPr="00D13D4E" w:rsidRDefault="008655B1" w:rsidP="008655B1">
            <w:pPr>
              <w:rPr>
                <w:rFonts w:ascii="Calibri" w:hAnsi="Calibri"/>
                <w:b/>
                <w:szCs w:val="22"/>
              </w:rPr>
            </w:pPr>
          </w:p>
        </w:tc>
        <w:tc>
          <w:tcPr>
            <w:tcW w:w="1980" w:type="dxa"/>
          </w:tcPr>
          <w:p w:rsidR="008655B1" w:rsidRPr="00D13D4E" w:rsidRDefault="007F2E2E" w:rsidP="007F2E2E">
            <w:pPr>
              <w:jc w:val="center"/>
              <w:rPr>
                <w:rFonts w:ascii="Calibri" w:hAnsi="Calibri"/>
                <w:b/>
                <w:szCs w:val="22"/>
              </w:rPr>
            </w:pPr>
            <w:r w:rsidRPr="00D13D4E">
              <w:rPr>
                <w:rFonts w:ascii="Calibri" w:hAnsi="Calibri"/>
                <w:b/>
                <w:szCs w:val="22"/>
              </w:rPr>
              <w:t>82%</w:t>
            </w:r>
          </w:p>
        </w:tc>
      </w:tr>
      <w:tr w:rsidR="008655B1" w:rsidRPr="00D13D4E" w:rsidTr="000F30DD">
        <w:trPr>
          <w:jc w:val="center"/>
        </w:trPr>
        <w:tc>
          <w:tcPr>
            <w:tcW w:w="1620" w:type="dxa"/>
            <w:vMerge/>
          </w:tcPr>
          <w:p w:rsidR="008655B1" w:rsidRPr="00D13D4E" w:rsidRDefault="008655B1" w:rsidP="008655B1">
            <w:pPr>
              <w:rPr>
                <w:rFonts w:ascii="Calibri" w:hAnsi="Calibri"/>
                <w:b/>
                <w:szCs w:val="22"/>
              </w:rPr>
            </w:pPr>
          </w:p>
        </w:tc>
        <w:tc>
          <w:tcPr>
            <w:tcW w:w="2340" w:type="dxa"/>
            <w:tcBorders>
              <w:bottom w:val="single" w:sz="4" w:space="0" w:color="auto"/>
            </w:tcBorders>
          </w:tcPr>
          <w:p w:rsidR="008655B1" w:rsidRPr="00D13D4E" w:rsidRDefault="008655B1" w:rsidP="008655B1">
            <w:pPr>
              <w:rPr>
                <w:rFonts w:ascii="Calibri" w:hAnsi="Calibri"/>
                <w:szCs w:val="22"/>
              </w:rPr>
            </w:pPr>
            <w:r w:rsidRPr="00D13D4E">
              <w:rPr>
                <w:rFonts w:ascii="Calibri" w:hAnsi="Calibri"/>
                <w:bCs/>
                <w:szCs w:val="22"/>
              </w:rPr>
              <w:t>WHO</w:t>
            </w:r>
          </w:p>
        </w:tc>
        <w:tc>
          <w:tcPr>
            <w:tcW w:w="2700" w:type="dxa"/>
            <w:tcBorders>
              <w:bottom w:val="single" w:sz="4" w:space="0" w:color="auto"/>
            </w:tcBorders>
          </w:tcPr>
          <w:p w:rsidR="008655B1" w:rsidRPr="00D13D4E" w:rsidRDefault="008655B1" w:rsidP="008655B1">
            <w:pPr>
              <w:rPr>
                <w:rFonts w:ascii="Calibri" w:hAnsi="Calibri"/>
                <w:b/>
                <w:szCs w:val="22"/>
              </w:rPr>
            </w:pPr>
            <w:r w:rsidRPr="00D13D4E">
              <w:rPr>
                <w:rFonts w:ascii="Calibri" w:hAnsi="Calibri"/>
                <w:b/>
                <w:szCs w:val="22"/>
              </w:rPr>
              <w:t>US$ 1,660,655</w:t>
            </w:r>
          </w:p>
        </w:tc>
        <w:tc>
          <w:tcPr>
            <w:tcW w:w="1440" w:type="dxa"/>
            <w:vMerge/>
          </w:tcPr>
          <w:p w:rsidR="008655B1" w:rsidRPr="00D13D4E" w:rsidRDefault="008655B1" w:rsidP="008655B1">
            <w:pPr>
              <w:rPr>
                <w:rFonts w:ascii="Calibri" w:hAnsi="Calibri"/>
                <w:b/>
                <w:szCs w:val="22"/>
              </w:rPr>
            </w:pPr>
          </w:p>
        </w:tc>
        <w:tc>
          <w:tcPr>
            <w:tcW w:w="1980" w:type="dxa"/>
            <w:tcBorders>
              <w:bottom w:val="single" w:sz="4" w:space="0" w:color="auto"/>
            </w:tcBorders>
          </w:tcPr>
          <w:p w:rsidR="008655B1" w:rsidRPr="00D13D4E" w:rsidRDefault="008655B1" w:rsidP="008655B1">
            <w:pPr>
              <w:jc w:val="center"/>
              <w:rPr>
                <w:rFonts w:ascii="Calibri" w:hAnsi="Calibri"/>
                <w:b/>
                <w:szCs w:val="22"/>
              </w:rPr>
            </w:pPr>
            <w:r w:rsidRPr="00D13D4E">
              <w:rPr>
                <w:rFonts w:ascii="Calibri" w:hAnsi="Calibri"/>
                <w:b/>
                <w:szCs w:val="22"/>
              </w:rPr>
              <w:t>54%</w:t>
            </w:r>
          </w:p>
        </w:tc>
      </w:tr>
      <w:tr w:rsidR="008655B1" w:rsidRPr="00D13D4E" w:rsidTr="000F30DD">
        <w:trPr>
          <w:trHeight w:val="395"/>
          <w:jc w:val="center"/>
        </w:trPr>
        <w:tc>
          <w:tcPr>
            <w:tcW w:w="1620" w:type="dxa"/>
            <w:vMerge/>
          </w:tcPr>
          <w:p w:rsidR="008655B1" w:rsidRPr="00D13D4E" w:rsidRDefault="008655B1" w:rsidP="008655B1">
            <w:pPr>
              <w:rPr>
                <w:rFonts w:ascii="Calibri" w:hAnsi="Calibri"/>
                <w:b/>
                <w:szCs w:val="22"/>
              </w:rPr>
            </w:pPr>
          </w:p>
        </w:tc>
        <w:tc>
          <w:tcPr>
            <w:tcW w:w="2340" w:type="dxa"/>
            <w:shd w:val="clear" w:color="auto" w:fill="F2F2F2" w:themeFill="background1" w:themeFillShade="F2"/>
            <w:vAlign w:val="center"/>
          </w:tcPr>
          <w:p w:rsidR="008655B1" w:rsidRPr="00D13D4E" w:rsidRDefault="008655B1" w:rsidP="008655B1">
            <w:pPr>
              <w:rPr>
                <w:rFonts w:ascii="Calibri" w:hAnsi="Calibri"/>
                <w:b/>
                <w:szCs w:val="22"/>
              </w:rPr>
            </w:pPr>
            <w:r w:rsidRPr="00D13D4E">
              <w:rPr>
                <w:rFonts w:ascii="Calibri" w:hAnsi="Calibri"/>
                <w:b/>
                <w:szCs w:val="22"/>
              </w:rPr>
              <w:t>Total Disbursements</w:t>
            </w:r>
          </w:p>
        </w:tc>
        <w:tc>
          <w:tcPr>
            <w:tcW w:w="2700" w:type="dxa"/>
            <w:shd w:val="clear" w:color="auto" w:fill="F2F2F2" w:themeFill="background1" w:themeFillShade="F2"/>
            <w:vAlign w:val="center"/>
          </w:tcPr>
          <w:p w:rsidR="008655B1" w:rsidRPr="00D13D4E" w:rsidRDefault="007A0BD6" w:rsidP="008655B1">
            <w:pPr>
              <w:rPr>
                <w:rFonts w:ascii="Calibri" w:hAnsi="Calibri"/>
                <w:b/>
                <w:szCs w:val="22"/>
              </w:rPr>
            </w:pPr>
            <w:r>
              <w:rPr>
                <w:rFonts w:ascii="Calibri" w:hAnsi="Calibri"/>
                <w:b/>
                <w:szCs w:val="22"/>
              </w:rPr>
              <w:t xml:space="preserve">US$ </w:t>
            </w:r>
            <w:r w:rsidRPr="007A0BD6">
              <w:rPr>
                <w:rFonts w:ascii="Calibri" w:hAnsi="Calibri"/>
                <w:b/>
                <w:szCs w:val="22"/>
              </w:rPr>
              <w:t>14</w:t>
            </w:r>
            <w:r>
              <w:rPr>
                <w:rFonts w:ascii="Calibri" w:hAnsi="Calibri"/>
                <w:b/>
                <w:szCs w:val="22"/>
              </w:rPr>
              <w:t>,</w:t>
            </w:r>
            <w:r w:rsidRPr="007A0BD6">
              <w:rPr>
                <w:rFonts w:ascii="Calibri" w:hAnsi="Calibri"/>
                <w:b/>
                <w:szCs w:val="22"/>
              </w:rPr>
              <w:t>712</w:t>
            </w:r>
            <w:r>
              <w:rPr>
                <w:rFonts w:ascii="Calibri" w:hAnsi="Calibri"/>
                <w:b/>
                <w:szCs w:val="22"/>
              </w:rPr>
              <w:t>,</w:t>
            </w:r>
            <w:r w:rsidRPr="007A0BD6">
              <w:rPr>
                <w:rFonts w:ascii="Calibri" w:hAnsi="Calibri"/>
                <w:b/>
                <w:szCs w:val="22"/>
              </w:rPr>
              <w:t>452.27</w:t>
            </w:r>
          </w:p>
        </w:tc>
        <w:tc>
          <w:tcPr>
            <w:tcW w:w="1440" w:type="dxa"/>
            <w:vMerge/>
          </w:tcPr>
          <w:p w:rsidR="008655B1" w:rsidRPr="00D13D4E" w:rsidRDefault="008655B1" w:rsidP="008655B1">
            <w:pPr>
              <w:rPr>
                <w:rFonts w:ascii="Calibri" w:hAnsi="Calibri"/>
                <w:b/>
                <w:szCs w:val="22"/>
              </w:rPr>
            </w:pPr>
          </w:p>
        </w:tc>
        <w:tc>
          <w:tcPr>
            <w:tcW w:w="1980" w:type="dxa"/>
            <w:shd w:val="clear" w:color="auto" w:fill="F2F2F2" w:themeFill="background1" w:themeFillShade="F2"/>
            <w:vAlign w:val="center"/>
          </w:tcPr>
          <w:p w:rsidR="008655B1" w:rsidRPr="00D13D4E" w:rsidRDefault="002D29DD" w:rsidP="008655B1">
            <w:pPr>
              <w:jc w:val="center"/>
              <w:rPr>
                <w:rFonts w:ascii="Calibri" w:hAnsi="Calibri"/>
                <w:b/>
                <w:bCs/>
              </w:rPr>
            </w:pPr>
            <w:r>
              <w:rPr>
                <w:rFonts w:ascii="Calibri" w:hAnsi="Calibri"/>
                <w:b/>
                <w:bCs/>
              </w:rPr>
              <w:t>71%</w:t>
            </w:r>
          </w:p>
        </w:tc>
      </w:tr>
      <w:tr w:rsidR="008655B1" w:rsidRPr="00D13D4E" w:rsidTr="00C74FD7">
        <w:trPr>
          <w:trHeight w:val="575"/>
          <w:jc w:val="center"/>
        </w:trPr>
        <w:tc>
          <w:tcPr>
            <w:tcW w:w="1620" w:type="dxa"/>
            <w:vAlign w:val="center"/>
          </w:tcPr>
          <w:p w:rsidR="008655B1" w:rsidRPr="00D13D4E" w:rsidRDefault="008655B1" w:rsidP="008655B1">
            <w:pPr>
              <w:rPr>
                <w:rFonts w:ascii="Calibri" w:hAnsi="Calibri"/>
                <w:b/>
                <w:szCs w:val="22"/>
              </w:rPr>
            </w:pPr>
            <w:r w:rsidRPr="00D13D4E">
              <w:rPr>
                <w:rFonts w:ascii="Calibri" w:hAnsi="Calibri"/>
                <w:b/>
                <w:szCs w:val="22"/>
              </w:rPr>
              <w:lastRenderedPageBreak/>
              <w:t xml:space="preserve">Forecast final date </w:t>
            </w:r>
          </w:p>
        </w:tc>
        <w:tc>
          <w:tcPr>
            <w:tcW w:w="5040" w:type="dxa"/>
            <w:gridSpan w:val="2"/>
            <w:vAlign w:val="center"/>
          </w:tcPr>
          <w:p w:rsidR="008655B1" w:rsidRPr="00D13D4E" w:rsidRDefault="008655B1" w:rsidP="00AD2F50">
            <w:pPr>
              <w:rPr>
                <w:rFonts w:ascii="Calibri" w:hAnsi="Calibri"/>
                <w:bCs/>
                <w:szCs w:val="22"/>
              </w:rPr>
            </w:pPr>
            <w:r w:rsidRPr="00D13D4E">
              <w:rPr>
                <w:rFonts w:ascii="Calibri" w:hAnsi="Calibri"/>
                <w:bCs/>
                <w:szCs w:val="22"/>
              </w:rPr>
              <w:t>31 Dec 20</w:t>
            </w:r>
            <w:r w:rsidR="00AD2F50">
              <w:rPr>
                <w:rFonts w:ascii="Calibri" w:hAnsi="Calibri"/>
                <w:bCs/>
                <w:szCs w:val="22"/>
              </w:rPr>
              <w:t>16</w:t>
            </w:r>
          </w:p>
        </w:tc>
        <w:tc>
          <w:tcPr>
            <w:tcW w:w="1440" w:type="dxa"/>
            <w:vAlign w:val="center"/>
          </w:tcPr>
          <w:p w:rsidR="008655B1" w:rsidRPr="00D13D4E" w:rsidRDefault="008655B1" w:rsidP="008655B1">
            <w:pPr>
              <w:rPr>
                <w:rFonts w:ascii="Calibri" w:hAnsi="Calibri"/>
                <w:b/>
                <w:szCs w:val="22"/>
              </w:rPr>
            </w:pPr>
            <w:r w:rsidRPr="00D13D4E">
              <w:rPr>
                <w:rFonts w:ascii="Calibri" w:hAnsi="Calibri"/>
                <w:b/>
                <w:szCs w:val="22"/>
              </w:rPr>
              <w:t>Delay Months</w:t>
            </w:r>
          </w:p>
        </w:tc>
        <w:tc>
          <w:tcPr>
            <w:tcW w:w="1980" w:type="dxa"/>
            <w:vAlign w:val="center"/>
          </w:tcPr>
          <w:p w:rsidR="008655B1" w:rsidRPr="00D13D4E" w:rsidRDefault="008655B1" w:rsidP="008655B1">
            <w:pPr>
              <w:jc w:val="center"/>
              <w:rPr>
                <w:rFonts w:ascii="Calibri" w:hAnsi="Calibri"/>
                <w:szCs w:val="22"/>
              </w:rPr>
            </w:pPr>
          </w:p>
        </w:tc>
      </w:tr>
    </w:tbl>
    <w:p w:rsidR="00C77ACF" w:rsidRPr="00D13D4E" w:rsidRDefault="00C77ACF" w:rsidP="00C77ACF">
      <w:pPr>
        <w:rPr>
          <w:szCs w:val="22"/>
        </w:rPr>
      </w:pPr>
    </w:p>
    <w:p w:rsidR="001747A1" w:rsidRPr="00D13D4E" w:rsidRDefault="001747A1" w:rsidP="00C77ACF">
      <w:pPr>
        <w:rPr>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530"/>
        <w:gridCol w:w="2250"/>
        <w:gridCol w:w="1980"/>
        <w:gridCol w:w="1980"/>
      </w:tblGrid>
      <w:tr w:rsidR="00DD16E0" w:rsidRPr="00D13D4E" w:rsidTr="00C74FD7">
        <w:trPr>
          <w:tblHeader/>
          <w:jc w:val="center"/>
        </w:trPr>
        <w:tc>
          <w:tcPr>
            <w:tcW w:w="2340" w:type="dxa"/>
            <w:shd w:val="clear" w:color="auto" w:fill="D9D9D9"/>
          </w:tcPr>
          <w:p w:rsidR="006D3299" w:rsidRPr="00D13D4E" w:rsidRDefault="006D3299" w:rsidP="003E6B2B">
            <w:pPr>
              <w:jc w:val="center"/>
              <w:rPr>
                <w:rFonts w:asciiTheme="minorHAnsi" w:hAnsiTheme="minorHAnsi"/>
                <w:b/>
                <w:szCs w:val="22"/>
              </w:rPr>
            </w:pPr>
            <w:r w:rsidRPr="00D13D4E">
              <w:rPr>
                <w:rFonts w:asciiTheme="minorHAnsi" w:hAnsiTheme="minorHAnsi"/>
                <w:b/>
                <w:szCs w:val="22"/>
              </w:rPr>
              <w:t>Direct Beneficiaries</w:t>
            </w:r>
          </w:p>
        </w:tc>
        <w:tc>
          <w:tcPr>
            <w:tcW w:w="1530" w:type="dxa"/>
            <w:shd w:val="clear" w:color="auto" w:fill="D9D9D9"/>
          </w:tcPr>
          <w:p w:rsidR="006D3299" w:rsidRPr="00D13D4E" w:rsidRDefault="006D3299" w:rsidP="003D1453">
            <w:pPr>
              <w:jc w:val="center"/>
              <w:rPr>
                <w:rFonts w:asciiTheme="minorHAnsi" w:hAnsiTheme="minorHAnsi"/>
                <w:b/>
                <w:szCs w:val="22"/>
              </w:rPr>
            </w:pPr>
            <w:r w:rsidRPr="00D13D4E">
              <w:rPr>
                <w:rFonts w:asciiTheme="minorHAnsi" w:hAnsiTheme="minorHAnsi"/>
                <w:b/>
                <w:szCs w:val="22"/>
              </w:rPr>
              <w:t>Agency</w:t>
            </w:r>
          </w:p>
        </w:tc>
        <w:tc>
          <w:tcPr>
            <w:tcW w:w="2250" w:type="dxa"/>
            <w:shd w:val="clear" w:color="auto" w:fill="D9D9D9"/>
          </w:tcPr>
          <w:p w:rsidR="006D3299" w:rsidRPr="00D13D4E" w:rsidRDefault="006D3299" w:rsidP="00C42BBD">
            <w:pPr>
              <w:jc w:val="center"/>
              <w:rPr>
                <w:rFonts w:asciiTheme="minorHAnsi" w:hAnsiTheme="minorHAnsi"/>
                <w:b/>
                <w:szCs w:val="22"/>
              </w:rPr>
            </w:pPr>
            <w:r w:rsidRPr="00D13D4E">
              <w:rPr>
                <w:rFonts w:asciiTheme="minorHAnsi" w:hAnsiTheme="minorHAnsi"/>
                <w:b/>
                <w:szCs w:val="22"/>
              </w:rPr>
              <w:t>Number of Beneficiaries</w:t>
            </w:r>
          </w:p>
        </w:tc>
        <w:tc>
          <w:tcPr>
            <w:tcW w:w="1980" w:type="dxa"/>
            <w:shd w:val="clear" w:color="auto" w:fill="D9D9D9"/>
          </w:tcPr>
          <w:p w:rsidR="006D3299" w:rsidRPr="00D13D4E" w:rsidRDefault="006D3299" w:rsidP="00C42BBD">
            <w:pPr>
              <w:jc w:val="center"/>
              <w:rPr>
                <w:rFonts w:asciiTheme="minorHAnsi" w:hAnsiTheme="minorHAnsi"/>
                <w:b/>
                <w:szCs w:val="22"/>
              </w:rPr>
            </w:pPr>
            <w:r w:rsidRPr="00D13D4E">
              <w:rPr>
                <w:rFonts w:asciiTheme="minorHAnsi" w:hAnsiTheme="minorHAnsi"/>
                <w:b/>
                <w:szCs w:val="22"/>
              </w:rPr>
              <w:t>Target</w:t>
            </w:r>
          </w:p>
        </w:tc>
        <w:tc>
          <w:tcPr>
            <w:tcW w:w="1980" w:type="dxa"/>
            <w:shd w:val="clear" w:color="auto" w:fill="D9D9D9"/>
          </w:tcPr>
          <w:p w:rsidR="006D3299" w:rsidRPr="00D13D4E" w:rsidRDefault="006D3299" w:rsidP="00C42BBD">
            <w:pPr>
              <w:jc w:val="center"/>
              <w:rPr>
                <w:rFonts w:asciiTheme="minorHAnsi" w:hAnsiTheme="minorHAnsi"/>
                <w:b/>
                <w:szCs w:val="22"/>
              </w:rPr>
            </w:pPr>
            <w:r w:rsidRPr="00D13D4E">
              <w:rPr>
                <w:rFonts w:asciiTheme="minorHAnsi" w:hAnsiTheme="minorHAnsi"/>
                <w:b/>
                <w:szCs w:val="22"/>
              </w:rPr>
              <w:t>% of planned (current status)</w:t>
            </w:r>
          </w:p>
        </w:tc>
      </w:tr>
      <w:tr w:rsidR="00C920FB" w:rsidRPr="00D13D4E" w:rsidTr="00C74FD7">
        <w:trPr>
          <w:jc w:val="center"/>
        </w:trPr>
        <w:tc>
          <w:tcPr>
            <w:tcW w:w="2340" w:type="dxa"/>
            <w:vMerge w:val="restart"/>
          </w:tcPr>
          <w:p w:rsidR="00C920FB" w:rsidRPr="00D13D4E" w:rsidRDefault="00C920FB" w:rsidP="00C77ACF">
            <w:pPr>
              <w:rPr>
                <w:rFonts w:asciiTheme="minorHAnsi" w:hAnsiTheme="minorHAnsi"/>
                <w:szCs w:val="22"/>
              </w:rPr>
            </w:pPr>
            <w:r w:rsidRPr="00D13D4E">
              <w:rPr>
                <w:rFonts w:asciiTheme="minorHAnsi" w:hAnsiTheme="minorHAnsi"/>
                <w:szCs w:val="22"/>
              </w:rPr>
              <w:t>Men</w:t>
            </w:r>
          </w:p>
        </w:tc>
        <w:tc>
          <w:tcPr>
            <w:tcW w:w="1530" w:type="dxa"/>
          </w:tcPr>
          <w:p w:rsidR="00C920FB" w:rsidRPr="00D13D4E" w:rsidRDefault="00C920FB" w:rsidP="007F7260">
            <w:pPr>
              <w:rPr>
                <w:rFonts w:ascii="Calibri" w:hAnsi="Calibri"/>
                <w:szCs w:val="22"/>
              </w:rPr>
            </w:pPr>
            <w:r w:rsidRPr="00D13D4E">
              <w:rPr>
                <w:rFonts w:ascii="Calibri" w:hAnsi="Calibri"/>
                <w:bCs/>
                <w:szCs w:val="22"/>
              </w:rPr>
              <w:t>UNDP</w:t>
            </w:r>
          </w:p>
        </w:tc>
        <w:tc>
          <w:tcPr>
            <w:tcW w:w="2250" w:type="dxa"/>
          </w:tcPr>
          <w:p w:rsidR="00C920FB" w:rsidRPr="00D13D4E" w:rsidRDefault="00C920FB" w:rsidP="007F7260">
            <w:pPr>
              <w:jc w:val="center"/>
              <w:rPr>
                <w:szCs w:val="22"/>
              </w:rPr>
            </w:pPr>
          </w:p>
        </w:tc>
        <w:tc>
          <w:tcPr>
            <w:tcW w:w="1980" w:type="dxa"/>
          </w:tcPr>
          <w:p w:rsidR="00C920FB" w:rsidRPr="00D13D4E" w:rsidRDefault="00C920FB" w:rsidP="007F7260">
            <w:pPr>
              <w:jc w:val="center"/>
              <w:rPr>
                <w:rFonts w:ascii="Calibri" w:hAnsi="Calibri"/>
                <w:szCs w:val="22"/>
              </w:rPr>
            </w:pPr>
            <w:r w:rsidRPr="00D13D4E">
              <w:rPr>
                <w:rFonts w:ascii="Calibri" w:hAnsi="Calibri"/>
                <w:szCs w:val="22"/>
              </w:rPr>
              <w:t>196</w:t>
            </w:r>
          </w:p>
        </w:tc>
        <w:tc>
          <w:tcPr>
            <w:tcW w:w="1980" w:type="dxa"/>
          </w:tcPr>
          <w:p w:rsidR="00C920FB" w:rsidRPr="00D13D4E" w:rsidRDefault="00C920FB" w:rsidP="007F7260">
            <w:pPr>
              <w:jc w:val="center"/>
              <w:rPr>
                <w:rFonts w:asciiTheme="minorHAnsi" w:hAnsiTheme="minorHAnsi"/>
                <w:b/>
                <w:bCs/>
                <w:szCs w:val="22"/>
              </w:rPr>
            </w:pPr>
          </w:p>
        </w:tc>
      </w:tr>
      <w:tr w:rsidR="00C920FB" w:rsidRPr="00D13D4E" w:rsidTr="00C74FD7">
        <w:trPr>
          <w:jc w:val="center"/>
        </w:trPr>
        <w:tc>
          <w:tcPr>
            <w:tcW w:w="2340" w:type="dxa"/>
            <w:vMerge/>
          </w:tcPr>
          <w:p w:rsidR="00C920FB" w:rsidRPr="00D13D4E" w:rsidRDefault="00C920FB" w:rsidP="00C77ACF">
            <w:pPr>
              <w:rPr>
                <w:rFonts w:asciiTheme="minorHAnsi" w:hAnsiTheme="minorHAnsi"/>
                <w:szCs w:val="22"/>
              </w:rPr>
            </w:pPr>
          </w:p>
        </w:tc>
        <w:tc>
          <w:tcPr>
            <w:tcW w:w="1530" w:type="dxa"/>
          </w:tcPr>
          <w:p w:rsidR="00C920FB" w:rsidRPr="00D13D4E" w:rsidRDefault="00C920FB" w:rsidP="007F7260">
            <w:pPr>
              <w:rPr>
                <w:rFonts w:ascii="Calibri" w:hAnsi="Calibri"/>
                <w:szCs w:val="22"/>
              </w:rPr>
            </w:pPr>
            <w:r w:rsidRPr="00D13D4E">
              <w:rPr>
                <w:rFonts w:ascii="Calibri" w:hAnsi="Calibri"/>
                <w:bCs/>
                <w:szCs w:val="22"/>
              </w:rPr>
              <w:t>UNESCO</w:t>
            </w:r>
          </w:p>
        </w:tc>
        <w:tc>
          <w:tcPr>
            <w:tcW w:w="2250" w:type="dxa"/>
          </w:tcPr>
          <w:p w:rsidR="00C920FB" w:rsidRPr="00D13D4E" w:rsidRDefault="004B7FB1" w:rsidP="007F7260">
            <w:pPr>
              <w:jc w:val="center"/>
              <w:rPr>
                <w:rFonts w:ascii="Calibri" w:hAnsi="Calibri"/>
                <w:b/>
                <w:bCs/>
                <w:szCs w:val="22"/>
              </w:rPr>
            </w:pPr>
            <w:r w:rsidRPr="00D13D4E">
              <w:rPr>
                <w:rFonts w:ascii="Calibri" w:hAnsi="Calibri"/>
                <w:b/>
                <w:bCs/>
                <w:szCs w:val="22"/>
              </w:rPr>
              <w:t>12</w:t>
            </w:r>
          </w:p>
        </w:tc>
        <w:tc>
          <w:tcPr>
            <w:tcW w:w="1980" w:type="dxa"/>
          </w:tcPr>
          <w:p w:rsidR="00C920FB" w:rsidRPr="00D13D4E" w:rsidRDefault="00C920FB" w:rsidP="007F7260">
            <w:pPr>
              <w:jc w:val="center"/>
              <w:rPr>
                <w:rFonts w:ascii="Calibri" w:hAnsi="Calibri"/>
                <w:b/>
                <w:bCs/>
                <w:szCs w:val="22"/>
              </w:rPr>
            </w:pPr>
            <w:r w:rsidRPr="00D13D4E">
              <w:rPr>
                <w:rFonts w:ascii="Calibri" w:hAnsi="Calibri"/>
                <w:b/>
                <w:bCs/>
                <w:szCs w:val="22"/>
              </w:rPr>
              <w:t>25</w:t>
            </w:r>
          </w:p>
        </w:tc>
        <w:tc>
          <w:tcPr>
            <w:tcW w:w="1980" w:type="dxa"/>
          </w:tcPr>
          <w:p w:rsidR="00C920FB" w:rsidRPr="00D13D4E" w:rsidRDefault="004B7FB1" w:rsidP="00271EB8">
            <w:pPr>
              <w:tabs>
                <w:tab w:val="left" w:pos="333"/>
              </w:tabs>
              <w:jc w:val="center"/>
              <w:rPr>
                <w:rFonts w:ascii="Calibri" w:hAnsi="Calibri"/>
                <w:b/>
                <w:bCs/>
                <w:szCs w:val="22"/>
              </w:rPr>
            </w:pPr>
            <w:r w:rsidRPr="00D13D4E">
              <w:rPr>
                <w:rFonts w:ascii="Calibri" w:hAnsi="Calibri"/>
                <w:b/>
                <w:bCs/>
                <w:szCs w:val="22"/>
              </w:rPr>
              <w:t>48%</w:t>
            </w: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UNESCWA</w:t>
            </w:r>
          </w:p>
        </w:tc>
        <w:tc>
          <w:tcPr>
            <w:tcW w:w="2250" w:type="dxa"/>
          </w:tcPr>
          <w:p w:rsidR="00F85D4E" w:rsidRPr="00D13D4E" w:rsidRDefault="00471E0B" w:rsidP="00F85D4E">
            <w:pPr>
              <w:jc w:val="center"/>
              <w:rPr>
                <w:rFonts w:ascii="Calibri" w:hAnsi="Calibri"/>
                <w:b/>
                <w:bCs/>
                <w:szCs w:val="22"/>
              </w:rPr>
            </w:pPr>
            <w:r w:rsidRPr="00D13D4E">
              <w:rPr>
                <w:rFonts w:ascii="Calibri" w:hAnsi="Calibri"/>
                <w:b/>
                <w:bCs/>
                <w:szCs w:val="22"/>
              </w:rPr>
              <w:t>21</w:t>
            </w: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UNFPA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UN-Habitat</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UNICEF</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UNWOMEN</w:t>
            </w:r>
          </w:p>
        </w:tc>
        <w:tc>
          <w:tcPr>
            <w:tcW w:w="2250" w:type="dxa"/>
          </w:tcPr>
          <w:p w:rsidR="00F85D4E" w:rsidRPr="00D13D4E" w:rsidRDefault="00F85D4E" w:rsidP="00F85D4E">
            <w:pPr>
              <w:jc w:val="center"/>
              <w:rPr>
                <w:rFonts w:asciiTheme="minorHAnsi" w:hAnsiTheme="minorHAnsi"/>
                <w:b/>
                <w:bCs/>
                <w:szCs w:val="22"/>
              </w:rPr>
            </w:pPr>
          </w:p>
        </w:tc>
        <w:tc>
          <w:tcPr>
            <w:tcW w:w="1980" w:type="dxa"/>
          </w:tcPr>
          <w:p w:rsidR="00F85D4E" w:rsidRPr="00D13D4E" w:rsidRDefault="00F85D4E" w:rsidP="00F85D4E">
            <w:pPr>
              <w:jc w:val="center"/>
              <w:rPr>
                <w:rFonts w:asciiTheme="minorHAnsi" w:hAnsiTheme="minorHAnsi"/>
                <w:b/>
                <w:bCs/>
                <w:szCs w:val="22"/>
              </w:rPr>
            </w:pPr>
            <w:r w:rsidRPr="00D13D4E">
              <w:rPr>
                <w:rFonts w:asciiTheme="minorHAnsi" w:hAnsiTheme="minorHAnsi"/>
                <w:b/>
                <w:bCs/>
                <w:szCs w:val="22"/>
              </w:rPr>
              <w:t>500</w:t>
            </w:r>
          </w:p>
        </w:tc>
        <w:tc>
          <w:tcPr>
            <w:tcW w:w="1980" w:type="dxa"/>
          </w:tcPr>
          <w:p w:rsidR="00F85D4E" w:rsidRPr="00D13D4E" w:rsidRDefault="00F85D4E" w:rsidP="00F85D4E">
            <w:pPr>
              <w:jc w:val="center"/>
              <w:rPr>
                <w:rFonts w:asciiTheme="minorHAnsi" w:hAnsiTheme="minorHAnsi"/>
                <w:b/>
                <w:bCs/>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WHO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val="restart"/>
          </w:tcPr>
          <w:p w:rsidR="00F85D4E" w:rsidRPr="00D13D4E" w:rsidRDefault="00F85D4E" w:rsidP="00F85D4E">
            <w:pPr>
              <w:rPr>
                <w:rFonts w:asciiTheme="minorHAnsi" w:hAnsiTheme="minorHAnsi"/>
                <w:szCs w:val="22"/>
              </w:rPr>
            </w:pPr>
            <w:r w:rsidRPr="00D13D4E">
              <w:rPr>
                <w:rFonts w:asciiTheme="minorHAnsi" w:hAnsiTheme="minorHAnsi"/>
                <w:szCs w:val="22"/>
              </w:rPr>
              <w:t>Women</w:t>
            </w:r>
          </w:p>
        </w:tc>
        <w:tc>
          <w:tcPr>
            <w:tcW w:w="1530" w:type="dxa"/>
          </w:tcPr>
          <w:p w:rsidR="00F85D4E" w:rsidRPr="00D13D4E" w:rsidRDefault="00F85D4E" w:rsidP="00F85D4E">
            <w:pPr>
              <w:rPr>
                <w:rFonts w:ascii="Calibri" w:hAnsi="Calibri"/>
                <w:szCs w:val="22"/>
              </w:rPr>
            </w:pPr>
            <w:r w:rsidRPr="00D13D4E">
              <w:rPr>
                <w:rFonts w:ascii="Calibri" w:hAnsi="Calibri"/>
                <w:bCs/>
                <w:szCs w:val="22"/>
              </w:rPr>
              <w:t>UNDP</w:t>
            </w:r>
          </w:p>
        </w:tc>
        <w:tc>
          <w:tcPr>
            <w:tcW w:w="2250" w:type="dxa"/>
          </w:tcPr>
          <w:p w:rsidR="00F85D4E" w:rsidRPr="00D13D4E" w:rsidRDefault="00F85D4E" w:rsidP="00F85D4E">
            <w:pPr>
              <w:jc w:val="center"/>
              <w:rPr>
                <w:rFonts w:asciiTheme="minorHAnsi" w:hAnsiTheme="minorHAnsi"/>
                <w:b/>
                <w:bCs/>
                <w:szCs w:val="22"/>
              </w:rPr>
            </w:pPr>
          </w:p>
        </w:tc>
        <w:tc>
          <w:tcPr>
            <w:tcW w:w="1980" w:type="dxa"/>
          </w:tcPr>
          <w:p w:rsidR="00F85D4E" w:rsidRPr="00D13D4E" w:rsidRDefault="00F85D4E" w:rsidP="00F85D4E">
            <w:pPr>
              <w:jc w:val="center"/>
              <w:rPr>
                <w:rFonts w:ascii="Calibri" w:hAnsi="Calibri"/>
                <w:szCs w:val="22"/>
              </w:rPr>
            </w:pPr>
            <w:r w:rsidRPr="00D13D4E">
              <w:rPr>
                <w:rFonts w:ascii="Calibri" w:hAnsi="Calibri"/>
                <w:szCs w:val="22"/>
              </w:rPr>
              <w:t>84</w:t>
            </w:r>
          </w:p>
        </w:tc>
        <w:tc>
          <w:tcPr>
            <w:tcW w:w="1980" w:type="dxa"/>
          </w:tcPr>
          <w:p w:rsidR="00F85D4E" w:rsidRPr="00D13D4E" w:rsidRDefault="00F85D4E" w:rsidP="00F85D4E">
            <w:pPr>
              <w:jc w:val="center"/>
              <w:rPr>
                <w:rFonts w:asciiTheme="minorHAnsi" w:hAnsiTheme="minorHAnsi"/>
                <w:b/>
                <w:bCs/>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Calibri" w:hAnsi="Calibri"/>
                <w:szCs w:val="22"/>
              </w:rPr>
            </w:pPr>
            <w:r w:rsidRPr="00D13D4E">
              <w:rPr>
                <w:rFonts w:ascii="Calibri" w:hAnsi="Calibri"/>
                <w:bCs/>
                <w:szCs w:val="22"/>
              </w:rPr>
              <w:t>UNESCO</w:t>
            </w:r>
          </w:p>
        </w:tc>
        <w:tc>
          <w:tcPr>
            <w:tcW w:w="2250" w:type="dxa"/>
          </w:tcPr>
          <w:p w:rsidR="00F85D4E" w:rsidRPr="00D13D4E" w:rsidRDefault="00F85D4E" w:rsidP="00F85D4E">
            <w:pPr>
              <w:jc w:val="center"/>
              <w:rPr>
                <w:rFonts w:ascii="Calibri" w:hAnsi="Calibri"/>
                <w:b/>
                <w:bCs/>
                <w:szCs w:val="22"/>
              </w:rPr>
            </w:pPr>
            <w:r w:rsidRPr="00D13D4E">
              <w:rPr>
                <w:rFonts w:ascii="Calibri" w:hAnsi="Calibri"/>
                <w:b/>
                <w:bCs/>
                <w:szCs w:val="22"/>
              </w:rPr>
              <w:t>13</w:t>
            </w:r>
          </w:p>
        </w:tc>
        <w:tc>
          <w:tcPr>
            <w:tcW w:w="1980" w:type="dxa"/>
          </w:tcPr>
          <w:p w:rsidR="00F85D4E" w:rsidRPr="00D13D4E" w:rsidRDefault="00F85D4E" w:rsidP="00F85D4E">
            <w:pPr>
              <w:jc w:val="center"/>
              <w:rPr>
                <w:rFonts w:ascii="Calibri" w:hAnsi="Calibri"/>
                <w:b/>
                <w:bCs/>
                <w:szCs w:val="22"/>
              </w:rPr>
            </w:pPr>
            <w:r w:rsidRPr="00D13D4E">
              <w:rPr>
                <w:rFonts w:ascii="Calibri" w:hAnsi="Calibri"/>
                <w:b/>
                <w:bCs/>
                <w:szCs w:val="22"/>
              </w:rPr>
              <w:t>25</w:t>
            </w:r>
          </w:p>
        </w:tc>
        <w:tc>
          <w:tcPr>
            <w:tcW w:w="1980" w:type="dxa"/>
          </w:tcPr>
          <w:p w:rsidR="00F85D4E" w:rsidRPr="00D13D4E" w:rsidRDefault="00F85D4E" w:rsidP="00F85D4E">
            <w:pPr>
              <w:tabs>
                <w:tab w:val="left" w:pos="333"/>
              </w:tabs>
              <w:jc w:val="center"/>
              <w:rPr>
                <w:rFonts w:ascii="Calibri" w:hAnsi="Calibri"/>
                <w:b/>
                <w:bCs/>
                <w:szCs w:val="22"/>
              </w:rPr>
            </w:pPr>
            <w:r w:rsidRPr="00D13D4E">
              <w:rPr>
                <w:rFonts w:ascii="Calibri" w:hAnsi="Calibri"/>
                <w:b/>
                <w:bCs/>
                <w:szCs w:val="22"/>
              </w:rPr>
              <w:t>52%</w:t>
            </w: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UNESCWA</w:t>
            </w:r>
          </w:p>
        </w:tc>
        <w:tc>
          <w:tcPr>
            <w:tcW w:w="2250" w:type="dxa"/>
          </w:tcPr>
          <w:p w:rsidR="00F85D4E" w:rsidRPr="00D13D4E" w:rsidRDefault="00220CD1" w:rsidP="00F85D4E">
            <w:pPr>
              <w:jc w:val="center"/>
              <w:rPr>
                <w:rFonts w:asciiTheme="minorHAnsi" w:hAnsiTheme="minorHAnsi"/>
                <w:b/>
                <w:bCs/>
                <w:szCs w:val="22"/>
              </w:rPr>
            </w:pPr>
            <w:r w:rsidRPr="00D13D4E">
              <w:rPr>
                <w:rFonts w:asciiTheme="minorHAnsi" w:hAnsiTheme="minorHAnsi"/>
                <w:b/>
                <w:bCs/>
                <w:szCs w:val="22"/>
              </w:rPr>
              <w:t>36</w:t>
            </w:r>
          </w:p>
        </w:tc>
        <w:tc>
          <w:tcPr>
            <w:tcW w:w="1980" w:type="dxa"/>
          </w:tcPr>
          <w:p w:rsidR="00F85D4E" w:rsidRPr="00D13D4E" w:rsidRDefault="00F85D4E" w:rsidP="00F85D4E">
            <w:pPr>
              <w:jc w:val="center"/>
              <w:rPr>
                <w:rFonts w:asciiTheme="minorHAnsi" w:hAnsiTheme="minorHAnsi"/>
                <w:b/>
                <w:bCs/>
                <w:szCs w:val="22"/>
              </w:rPr>
            </w:pPr>
            <w:r w:rsidRPr="00D13D4E">
              <w:rPr>
                <w:rFonts w:asciiTheme="minorHAnsi" w:hAnsiTheme="minorHAnsi"/>
                <w:b/>
                <w:bCs/>
                <w:szCs w:val="22"/>
              </w:rPr>
              <w:t>20</w:t>
            </w:r>
          </w:p>
        </w:tc>
        <w:tc>
          <w:tcPr>
            <w:tcW w:w="1980" w:type="dxa"/>
          </w:tcPr>
          <w:p w:rsidR="00F85D4E" w:rsidRPr="00D13D4E" w:rsidRDefault="00F85D4E" w:rsidP="00F85D4E">
            <w:pPr>
              <w:jc w:val="center"/>
              <w:rPr>
                <w:rFonts w:asciiTheme="minorHAnsi" w:hAnsiTheme="minorHAnsi"/>
                <w:b/>
                <w:bCs/>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UNFPA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UN-Habitat</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UNICEF</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UNWOMEN</w:t>
            </w:r>
          </w:p>
        </w:tc>
        <w:tc>
          <w:tcPr>
            <w:tcW w:w="2250" w:type="dxa"/>
          </w:tcPr>
          <w:p w:rsidR="00F85D4E" w:rsidRPr="00D13D4E" w:rsidRDefault="00F85D4E" w:rsidP="00F85D4E">
            <w:pPr>
              <w:jc w:val="center"/>
              <w:rPr>
                <w:rFonts w:asciiTheme="minorHAnsi" w:hAnsiTheme="minorHAnsi"/>
                <w:b/>
                <w:bCs/>
                <w:szCs w:val="22"/>
              </w:rPr>
            </w:pPr>
          </w:p>
        </w:tc>
        <w:tc>
          <w:tcPr>
            <w:tcW w:w="1980" w:type="dxa"/>
          </w:tcPr>
          <w:p w:rsidR="00F85D4E" w:rsidRPr="00D13D4E" w:rsidRDefault="00F85D4E" w:rsidP="00F85D4E">
            <w:pPr>
              <w:jc w:val="center"/>
              <w:rPr>
                <w:rFonts w:asciiTheme="minorHAnsi" w:hAnsiTheme="minorHAnsi"/>
                <w:b/>
                <w:bCs/>
                <w:szCs w:val="22"/>
              </w:rPr>
            </w:pPr>
            <w:r w:rsidRPr="00D13D4E">
              <w:rPr>
                <w:rFonts w:asciiTheme="minorHAnsi" w:hAnsiTheme="minorHAnsi"/>
                <w:b/>
                <w:bCs/>
                <w:szCs w:val="22"/>
              </w:rPr>
              <w:t>500</w:t>
            </w:r>
          </w:p>
        </w:tc>
        <w:tc>
          <w:tcPr>
            <w:tcW w:w="1980" w:type="dxa"/>
          </w:tcPr>
          <w:p w:rsidR="00F85D4E" w:rsidRPr="00D13D4E" w:rsidRDefault="00F85D4E" w:rsidP="00F85D4E">
            <w:pPr>
              <w:jc w:val="center"/>
              <w:rPr>
                <w:rFonts w:asciiTheme="minorHAnsi" w:hAnsiTheme="minorHAnsi"/>
                <w:b/>
                <w:bCs/>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WHO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r w:rsidRPr="00D13D4E">
              <w:rPr>
                <w:rFonts w:asciiTheme="minorHAnsi" w:hAnsiTheme="minorHAnsi"/>
                <w:szCs w:val="22"/>
              </w:rPr>
              <w:t>Children</w:t>
            </w: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UNDP</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UNESCWA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b/>
                <w:bCs/>
                <w:szCs w:val="22"/>
              </w:rPr>
            </w:pPr>
            <w:r w:rsidRPr="00D13D4E">
              <w:rPr>
                <w:rFonts w:asciiTheme="minorHAnsi" w:hAnsiTheme="minorHAnsi"/>
                <w:b/>
                <w:bCs/>
                <w:szCs w:val="22"/>
              </w:rPr>
              <w:t>NA</w:t>
            </w: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UNFPA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UN-Habitat</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UNICEF</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UNWOMEN</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WHO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tcPr>
          <w:p w:rsidR="00F85D4E" w:rsidRPr="00D13D4E" w:rsidRDefault="00F85D4E" w:rsidP="00F85D4E">
            <w:pPr>
              <w:rPr>
                <w:rFonts w:asciiTheme="minorHAnsi" w:hAnsiTheme="minorHAnsi"/>
                <w:szCs w:val="22"/>
              </w:rPr>
            </w:pPr>
            <w:r w:rsidRPr="00D13D4E">
              <w:rPr>
                <w:rFonts w:asciiTheme="minorHAnsi" w:hAnsiTheme="minorHAnsi"/>
                <w:szCs w:val="22"/>
              </w:rPr>
              <w:t>IDPs</w:t>
            </w: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UNICEF</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val="restart"/>
          </w:tcPr>
          <w:p w:rsidR="00F85D4E" w:rsidRPr="00D13D4E" w:rsidRDefault="00F85D4E" w:rsidP="00F85D4E">
            <w:pPr>
              <w:rPr>
                <w:rFonts w:asciiTheme="minorHAnsi" w:hAnsiTheme="minorHAnsi"/>
                <w:szCs w:val="22"/>
              </w:rPr>
            </w:pPr>
            <w:r w:rsidRPr="00D13D4E">
              <w:rPr>
                <w:rFonts w:asciiTheme="minorHAnsi" w:hAnsiTheme="minorHAnsi"/>
                <w:szCs w:val="22"/>
              </w:rPr>
              <w:t>Indirect beneficiaries</w:t>
            </w: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UNDP</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Calibri" w:hAnsi="Calibri"/>
                <w:szCs w:val="22"/>
              </w:rPr>
            </w:pPr>
            <w:r w:rsidRPr="00D13D4E">
              <w:rPr>
                <w:rFonts w:ascii="Calibri" w:hAnsi="Calibri"/>
                <w:bCs/>
                <w:szCs w:val="22"/>
              </w:rPr>
              <w:t>UNESCO and UNICEF (Educ.)</w:t>
            </w:r>
          </w:p>
        </w:tc>
        <w:tc>
          <w:tcPr>
            <w:tcW w:w="2250" w:type="dxa"/>
          </w:tcPr>
          <w:p w:rsidR="00F85D4E" w:rsidRPr="00D13D4E" w:rsidRDefault="00F85D4E" w:rsidP="00F85D4E">
            <w:pPr>
              <w:jc w:val="center"/>
              <w:rPr>
                <w:rFonts w:ascii="Calibri" w:hAnsi="Calibri"/>
                <w:b/>
                <w:bCs/>
                <w:szCs w:val="22"/>
              </w:rPr>
            </w:pPr>
            <w:r w:rsidRPr="00D13D4E">
              <w:rPr>
                <w:rFonts w:ascii="Calibri" w:hAnsi="Calibri"/>
                <w:b/>
                <w:bCs/>
                <w:szCs w:val="22"/>
              </w:rPr>
              <w:t>530,000</w:t>
            </w:r>
          </w:p>
        </w:tc>
        <w:tc>
          <w:tcPr>
            <w:tcW w:w="1980" w:type="dxa"/>
          </w:tcPr>
          <w:p w:rsidR="00F85D4E" w:rsidRPr="00D13D4E" w:rsidRDefault="00F85D4E" w:rsidP="00F85D4E">
            <w:pPr>
              <w:jc w:val="center"/>
              <w:rPr>
                <w:rFonts w:ascii="Calibri" w:hAnsi="Calibri"/>
                <w:b/>
                <w:bCs/>
                <w:szCs w:val="22"/>
              </w:rPr>
            </w:pPr>
            <w:r w:rsidRPr="00D13D4E">
              <w:rPr>
                <w:rFonts w:ascii="Calibri" w:hAnsi="Calibri"/>
                <w:b/>
                <w:bCs/>
                <w:szCs w:val="22"/>
              </w:rPr>
              <w:t>700,000</w:t>
            </w:r>
            <w:r w:rsidRPr="00D13D4E">
              <w:rPr>
                <w:rStyle w:val="FootnoteReference"/>
                <w:rFonts w:ascii="Calibri" w:hAnsi="Calibri"/>
                <w:b/>
                <w:bCs/>
                <w:szCs w:val="22"/>
              </w:rPr>
              <w:footnoteReference w:id="3"/>
            </w:r>
          </w:p>
        </w:tc>
        <w:tc>
          <w:tcPr>
            <w:tcW w:w="1980" w:type="dxa"/>
          </w:tcPr>
          <w:p w:rsidR="00F85D4E" w:rsidRPr="00D13D4E" w:rsidRDefault="00F85D4E" w:rsidP="00F85D4E">
            <w:pPr>
              <w:jc w:val="center"/>
              <w:rPr>
                <w:rFonts w:ascii="Calibri" w:hAnsi="Calibri"/>
                <w:b/>
                <w:bCs/>
                <w:szCs w:val="22"/>
              </w:rPr>
            </w:pPr>
            <w:r w:rsidRPr="00D13D4E">
              <w:rPr>
                <w:rFonts w:ascii="Calibri" w:hAnsi="Calibri"/>
                <w:b/>
                <w:bCs/>
                <w:szCs w:val="22"/>
              </w:rPr>
              <w:t>75%</w:t>
            </w: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UNESCWA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UNFPA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UN-Habitat</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UNICEF</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UNWOMEN</w:t>
            </w:r>
          </w:p>
        </w:tc>
        <w:tc>
          <w:tcPr>
            <w:tcW w:w="2250" w:type="dxa"/>
          </w:tcPr>
          <w:p w:rsidR="00F85D4E" w:rsidRPr="00D13D4E" w:rsidRDefault="00F85D4E" w:rsidP="00F85D4E">
            <w:pPr>
              <w:jc w:val="center"/>
              <w:rPr>
                <w:rFonts w:asciiTheme="minorHAnsi" w:hAnsiTheme="minorHAnsi"/>
                <w:b/>
                <w:bCs/>
                <w:szCs w:val="22"/>
              </w:rPr>
            </w:pPr>
          </w:p>
        </w:tc>
        <w:tc>
          <w:tcPr>
            <w:tcW w:w="1980" w:type="dxa"/>
          </w:tcPr>
          <w:p w:rsidR="00F85D4E" w:rsidRPr="00D13D4E" w:rsidRDefault="00F85D4E" w:rsidP="00F85D4E">
            <w:pPr>
              <w:jc w:val="center"/>
              <w:rPr>
                <w:rFonts w:asciiTheme="minorHAnsi" w:hAnsiTheme="minorHAnsi"/>
                <w:b/>
                <w:bCs/>
                <w:szCs w:val="22"/>
              </w:rPr>
            </w:pPr>
            <w:r w:rsidRPr="00D13D4E">
              <w:rPr>
                <w:rFonts w:asciiTheme="minorHAnsi" w:hAnsiTheme="minorHAnsi"/>
                <w:b/>
                <w:bCs/>
                <w:szCs w:val="22"/>
              </w:rPr>
              <w:t xml:space="preserve">All Iraqi Officials </w:t>
            </w:r>
          </w:p>
        </w:tc>
        <w:tc>
          <w:tcPr>
            <w:tcW w:w="1980" w:type="dxa"/>
          </w:tcPr>
          <w:p w:rsidR="00F85D4E" w:rsidRPr="00D13D4E" w:rsidRDefault="00F85D4E" w:rsidP="00F85D4E">
            <w:pPr>
              <w:jc w:val="center"/>
              <w:rPr>
                <w:rFonts w:asciiTheme="minorHAnsi" w:hAnsiTheme="minorHAnsi"/>
                <w:b/>
                <w:bCs/>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WHO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val="restart"/>
          </w:tcPr>
          <w:p w:rsidR="00F85D4E" w:rsidRPr="00D13D4E" w:rsidRDefault="00F85D4E" w:rsidP="00F85D4E">
            <w:pPr>
              <w:rPr>
                <w:rFonts w:asciiTheme="minorHAnsi" w:hAnsiTheme="minorHAnsi"/>
                <w:szCs w:val="22"/>
              </w:rPr>
            </w:pPr>
            <w:r w:rsidRPr="00D13D4E">
              <w:rPr>
                <w:rFonts w:asciiTheme="minorHAnsi" w:hAnsiTheme="minorHAnsi"/>
                <w:szCs w:val="22"/>
              </w:rPr>
              <w:t xml:space="preserve">Employment </w:t>
            </w:r>
            <w:r w:rsidRPr="00D13D4E">
              <w:rPr>
                <w:rFonts w:asciiTheme="minorHAnsi" w:hAnsiTheme="minorHAnsi"/>
                <w:szCs w:val="22"/>
              </w:rPr>
              <w:lastRenderedPageBreak/>
              <w:t>generation  (male/female)</w:t>
            </w: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lastRenderedPageBreak/>
              <w:t>UNDP</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UNESCWA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b/>
                <w:bCs/>
                <w:szCs w:val="22"/>
              </w:rPr>
            </w:pPr>
            <w:r w:rsidRPr="00D13D4E">
              <w:rPr>
                <w:rFonts w:asciiTheme="minorHAnsi" w:hAnsiTheme="minorHAnsi"/>
                <w:b/>
                <w:bCs/>
                <w:szCs w:val="22"/>
              </w:rPr>
              <w:t>NA</w:t>
            </w: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UNFPA</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UN-Habitat</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UNICEF</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szCs w:val="22"/>
              </w:rPr>
            </w:pPr>
            <w:r w:rsidRPr="00D13D4E">
              <w:rPr>
                <w:rFonts w:asciiTheme="minorHAnsi" w:hAnsiTheme="minorHAnsi"/>
                <w:bCs/>
                <w:szCs w:val="22"/>
              </w:rPr>
              <w:t>UNWOMEN</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r w:rsidR="00F85D4E" w:rsidRPr="00D13D4E" w:rsidTr="00C74FD7">
        <w:trPr>
          <w:jc w:val="center"/>
        </w:trPr>
        <w:tc>
          <w:tcPr>
            <w:tcW w:w="2340" w:type="dxa"/>
            <w:vMerge/>
          </w:tcPr>
          <w:p w:rsidR="00F85D4E" w:rsidRPr="00D13D4E" w:rsidRDefault="00F85D4E" w:rsidP="00F85D4E">
            <w:pPr>
              <w:rPr>
                <w:rFonts w:asciiTheme="minorHAnsi" w:hAnsiTheme="minorHAnsi"/>
                <w:szCs w:val="22"/>
              </w:rPr>
            </w:pPr>
          </w:p>
        </w:tc>
        <w:tc>
          <w:tcPr>
            <w:tcW w:w="1530" w:type="dxa"/>
          </w:tcPr>
          <w:p w:rsidR="00F85D4E" w:rsidRPr="00D13D4E" w:rsidRDefault="00F85D4E" w:rsidP="00F85D4E">
            <w:pPr>
              <w:rPr>
                <w:rFonts w:asciiTheme="minorHAnsi" w:hAnsiTheme="minorHAnsi"/>
                <w:bCs/>
                <w:szCs w:val="22"/>
              </w:rPr>
            </w:pPr>
            <w:r w:rsidRPr="00D13D4E">
              <w:rPr>
                <w:rFonts w:asciiTheme="minorHAnsi" w:hAnsiTheme="minorHAnsi"/>
                <w:bCs/>
                <w:szCs w:val="22"/>
              </w:rPr>
              <w:t>WHO</w:t>
            </w:r>
          </w:p>
        </w:tc>
        <w:tc>
          <w:tcPr>
            <w:tcW w:w="225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c>
          <w:tcPr>
            <w:tcW w:w="1980" w:type="dxa"/>
          </w:tcPr>
          <w:p w:rsidR="00F85D4E" w:rsidRPr="00D13D4E" w:rsidRDefault="00F85D4E" w:rsidP="00F85D4E">
            <w:pPr>
              <w:jc w:val="center"/>
              <w:rPr>
                <w:rFonts w:asciiTheme="minorHAnsi" w:hAnsiTheme="minorHAnsi"/>
                <w:szCs w:val="22"/>
              </w:rPr>
            </w:pPr>
          </w:p>
        </w:tc>
      </w:tr>
    </w:tbl>
    <w:p w:rsidR="005B7500" w:rsidRPr="00D13D4E" w:rsidRDefault="005B7500" w:rsidP="00C77ACF">
      <w:pPr>
        <w:rPr>
          <w:szCs w:val="22"/>
        </w:rPr>
      </w:pPr>
    </w:p>
    <w:p w:rsidR="00B85742" w:rsidRPr="00D13D4E" w:rsidRDefault="00B85742" w:rsidP="00C77ACF">
      <w:pPr>
        <w:rPr>
          <w:szCs w:val="22"/>
        </w:rPr>
      </w:pPr>
    </w:p>
    <w:tbl>
      <w:tblPr>
        <w:tblpPr w:leftFromText="180" w:rightFromText="180" w:horzAnchor="margin" w:tblpXSpec="center" w:tblpY="38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128"/>
        <w:gridCol w:w="990"/>
      </w:tblGrid>
      <w:tr w:rsidR="00DD16E0" w:rsidRPr="00D13D4E" w:rsidTr="00F97C61">
        <w:trPr>
          <w:trHeight w:val="2510"/>
        </w:trPr>
        <w:tc>
          <w:tcPr>
            <w:tcW w:w="1980" w:type="dxa"/>
          </w:tcPr>
          <w:p w:rsidR="007D0B93" w:rsidRPr="00D13D4E" w:rsidRDefault="007D0B93" w:rsidP="00DF2601">
            <w:pPr>
              <w:widowControl/>
              <w:autoSpaceDE w:val="0"/>
              <w:autoSpaceDN w:val="0"/>
              <w:adjustRightInd w:val="0"/>
              <w:spacing w:before="40" w:after="40"/>
              <w:rPr>
                <w:rFonts w:ascii="Calibri" w:hAnsi="Calibri"/>
                <w:szCs w:val="22"/>
                <w:lang w:eastAsia="en-IN" w:bidi="hi-IN"/>
              </w:rPr>
            </w:pPr>
            <w:r w:rsidRPr="00D13D4E">
              <w:rPr>
                <w:rFonts w:ascii="Calibri" w:hAnsi="Calibri"/>
                <w:b/>
                <w:bCs/>
                <w:szCs w:val="22"/>
                <w:lang w:eastAsia="en-IN" w:bidi="hi-IN"/>
              </w:rPr>
              <w:lastRenderedPageBreak/>
              <w:t>JP Output 1:</w:t>
            </w:r>
            <w:r w:rsidRPr="00D13D4E">
              <w:rPr>
                <w:rFonts w:ascii="Calibri" w:hAnsi="Calibri"/>
                <w:szCs w:val="22"/>
                <w:lang w:eastAsia="en-IN" w:bidi="hi-IN"/>
              </w:rPr>
              <w:t xml:space="preserve"> GoI has enhanced capacity to undertake public sector modernization at national, regional and governorate levels</w:t>
            </w:r>
          </w:p>
        </w:tc>
        <w:tc>
          <w:tcPr>
            <w:tcW w:w="7128" w:type="dxa"/>
          </w:tcPr>
          <w:p w:rsidR="006A014E" w:rsidRPr="00D13D4E" w:rsidRDefault="007D0B93" w:rsidP="00C7755D">
            <w:pPr>
              <w:widowControl/>
              <w:spacing w:before="40" w:after="40"/>
              <w:rPr>
                <w:rFonts w:ascii="Calibri" w:hAnsi="Calibri"/>
                <w:b/>
                <w:szCs w:val="22"/>
              </w:rPr>
            </w:pPr>
            <w:r w:rsidRPr="00D13D4E">
              <w:rPr>
                <w:rFonts w:ascii="Calibri" w:hAnsi="Calibri"/>
                <w:b/>
                <w:szCs w:val="22"/>
              </w:rPr>
              <w:t xml:space="preserve">JMT/UNDP: </w:t>
            </w:r>
          </w:p>
          <w:p w:rsidR="00FF1979" w:rsidRPr="00D13D4E" w:rsidRDefault="00FF1979" w:rsidP="00FF1979">
            <w:pPr>
              <w:pStyle w:val="ListParagraph"/>
              <w:spacing w:after="120" w:line="240" w:lineRule="auto"/>
              <w:ind w:left="432"/>
              <w:rPr>
                <w:bCs/>
              </w:rPr>
            </w:pPr>
          </w:p>
          <w:p w:rsidR="009C354A" w:rsidRPr="00D13D4E" w:rsidRDefault="009C354A" w:rsidP="00D17B38">
            <w:pPr>
              <w:pStyle w:val="ListParagraph"/>
              <w:numPr>
                <w:ilvl w:val="0"/>
                <w:numId w:val="5"/>
              </w:numPr>
              <w:spacing w:after="120" w:line="240" w:lineRule="auto"/>
              <w:ind w:left="432" w:hanging="274"/>
              <w:rPr>
                <w:bCs/>
              </w:rPr>
            </w:pPr>
            <w:r w:rsidRPr="00D13D4E">
              <w:rPr>
                <w:bCs/>
              </w:rPr>
              <w:t>The web-based PAR M&amp;E tool was released and currently being used by national counterparts.</w:t>
            </w:r>
          </w:p>
          <w:p w:rsidR="007D0B93" w:rsidRPr="00D13D4E" w:rsidRDefault="00F0455C" w:rsidP="00D17B38">
            <w:pPr>
              <w:pStyle w:val="ListParagraph"/>
              <w:numPr>
                <w:ilvl w:val="0"/>
                <w:numId w:val="5"/>
              </w:numPr>
              <w:spacing w:after="120" w:line="240" w:lineRule="auto"/>
              <w:ind w:left="432" w:hanging="274"/>
              <w:rPr>
                <w:bCs/>
              </w:rPr>
            </w:pPr>
            <w:r w:rsidRPr="00D13D4E">
              <w:rPr>
                <w:bCs/>
              </w:rPr>
              <w:t xml:space="preserve">A meeting was held in Erbil at the request of KRG Minister of Planning to reinitiate the discussion on K-PSM.  </w:t>
            </w:r>
          </w:p>
        </w:tc>
        <w:tc>
          <w:tcPr>
            <w:tcW w:w="990" w:type="dxa"/>
          </w:tcPr>
          <w:p w:rsidR="007D0B93" w:rsidRPr="00D13D4E" w:rsidRDefault="007D0B93" w:rsidP="00FC767A">
            <w:pPr>
              <w:spacing w:before="40" w:after="40"/>
              <w:jc w:val="center"/>
              <w:rPr>
                <w:rFonts w:ascii="Calibri" w:hAnsi="Calibri"/>
                <w:b/>
                <w:szCs w:val="22"/>
              </w:rPr>
            </w:pPr>
            <w:r w:rsidRPr="00D13D4E">
              <w:rPr>
                <w:rFonts w:ascii="Calibri" w:hAnsi="Calibri"/>
                <w:b/>
                <w:szCs w:val="22"/>
              </w:rPr>
              <w:t>% of planned</w:t>
            </w:r>
          </w:p>
          <w:p w:rsidR="007D0B93" w:rsidRPr="00D13D4E" w:rsidRDefault="00A10333" w:rsidP="00FC6394">
            <w:pPr>
              <w:spacing w:before="40" w:after="40"/>
              <w:jc w:val="center"/>
              <w:rPr>
                <w:rFonts w:ascii="Calibri" w:hAnsi="Calibri"/>
                <w:b/>
                <w:szCs w:val="22"/>
              </w:rPr>
            </w:pPr>
            <w:r w:rsidRPr="00D13D4E">
              <w:rPr>
                <w:rFonts w:ascii="Calibri" w:hAnsi="Calibri"/>
                <w:b/>
                <w:szCs w:val="22"/>
              </w:rPr>
              <w:t>98%</w:t>
            </w:r>
          </w:p>
        </w:tc>
      </w:tr>
      <w:tr w:rsidR="00DD16E0" w:rsidRPr="00D13D4E" w:rsidTr="00D97DAB">
        <w:trPr>
          <w:trHeight w:val="980"/>
        </w:trPr>
        <w:tc>
          <w:tcPr>
            <w:tcW w:w="1980" w:type="dxa"/>
            <w:vMerge w:val="restart"/>
          </w:tcPr>
          <w:p w:rsidR="007D0B93" w:rsidRPr="00D13D4E" w:rsidRDefault="007D0B93" w:rsidP="00DF2601">
            <w:pPr>
              <w:autoSpaceDE w:val="0"/>
              <w:autoSpaceDN w:val="0"/>
              <w:adjustRightInd w:val="0"/>
              <w:spacing w:before="40" w:after="40"/>
              <w:rPr>
                <w:rFonts w:ascii="Calibri" w:hAnsi="Calibri"/>
                <w:szCs w:val="22"/>
              </w:rPr>
            </w:pPr>
            <w:r w:rsidRPr="00D13D4E">
              <w:rPr>
                <w:rFonts w:ascii="Calibri" w:hAnsi="Calibri"/>
                <w:b/>
                <w:bCs/>
                <w:szCs w:val="22"/>
              </w:rPr>
              <w:t>JP Output 2:</w:t>
            </w:r>
            <w:r w:rsidRPr="00D13D4E">
              <w:rPr>
                <w:rFonts w:ascii="Calibri" w:hAnsi="Calibri"/>
                <w:szCs w:val="22"/>
              </w:rPr>
              <w:t xml:space="preserve"> </w:t>
            </w:r>
            <w:r w:rsidRPr="00D13D4E">
              <w:rPr>
                <w:rFonts w:ascii="Calibri" w:hAnsi="Calibri"/>
                <w:szCs w:val="22"/>
                <w:lang w:eastAsia="en-IN" w:bidi="hi-IN"/>
              </w:rPr>
              <w:t>GoI has improved public administration systems at national and sub-national levels</w:t>
            </w:r>
          </w:p>
        </w:tc>
        <w:tc>
          <w:tcPr>
            <w:tcW w:w="7128" w:type="dxa"/>
          </w:tcPr>
          <w:p w:rsidR="00BD0444" w:rsidRPr="00D13D4E" w:rsidRDefault="00BD0444" w:rsidP="00BD0444">
            <w:pPr>
              <w:widowControl/>
              <w:spacing w:before="40" w:after="40"/>
              <w:rPr>
                <w:rFonts w:ascii="Calibri" w:hAnsi="Calibri"/>
                <w:b/>
                <w:szCs w:val="22"/>
              </w:rPr>
            </w:pPr>
            <w:r w:rsidRPr="00D13D4E">
              <w:rPr>
                <w:rFonts w:ascii="Calibri" w:hAnsi="Calibri"/>
                <w:b/>
                <w:szCs w:val="22"/>
              </w:rPr>
              <w:t>UNDP - eGovernance</w:t>
            </w:r>
          </w:p>
          <w:p w:rsidR="007635BD" w:rsidRPr="00D13D4E" w:rsidRDefault="007635BD" w:rsidP="00D17B38">
            <w:pPr>
              <w:pStyle w:val="ListParagraph"/>
              <w:numPr>
                <w:ilvl w:val="0"/>
                <w:numId w:val="5"/>
              </w:numPr>
              <w:spacing w:after="120" w:line="240" w:lineRule="auto"/>
              <w:ind w:left="432" w:hanging="274"/>
              <w:rPr>
                <w:bCs/>
              </w:rPr>
            </w:pPr>
            <w:r w:rsidRPr="00D13D4E">
              <w:rPr>
                <w:bCs/>
              </w:rPr>
              <w:t>Technical support was provided to CoMSEC and Ministry of Planning to develop e-HR and e-Procurement systems and also simplify “</w:t>
            </w:r>
            <w:r w:rsidRPr="00D13D4E">
              <w:rPr>
                <w:bCs/>
                <w:i/>
                <w:iCs/>
              </w:rPr>
              <w:t>Damage Compensation</w:t>
            </w:r>
            <w:r w:rsidR="00E56EC8" w:rsidRPr="00D13D4E">
              <w:rPr>
                <w:bCs/>
              </w:rPr>
              <w:t xml:space="preserve">” service </w:t>
            </w:r>
            <w:r w:rsidR="002903C5" w:rsidRPr="00D13D4E">
              <w:rPr>
                <w:bCs/>
              </w:rPr>
              <w:t>delivery</w:t>
            </w:r>
            <w:r w:rsidR="00E56EC8" w:rsidRPr="00D13D4E">
              <w:rPr>
                <w:bCs/>
              </w:rPr>
              <w:t>.</w:t>
            </w:r>
          </w:p>
          <w:p w:rsidR="007D0B93" w:rsidRPr="00D13D4E" w:rsidRDefault="007635BD" w:rsidP="00D17B38">
            <w:pPr>
              <w:pStyle w:val="ListParagraph"/>
              <w:numPr>
                <w:ilvl w:val="0"/>
                <w:numId w:val="5"/>
              </w:numPr>
              <w:spacing w:after="120" w:line="240" w:lineRule="auto"/>
              <w:ind w:left="432" w:hanging="274"/>
              <w:rPr>
                <w:bCs/>
              </w:rPr>
            </w:pPr>
            <w:r w:rsidRPr="00D13D4E">
              <w:rPr>
                <w:bCs/>
              </w:rPr>
              <w:t>A three-day workshop was concluded to present and discuss the 1</w:t>
            </w:r>
            <w:r w:rsidR="00EE3295" w:rsidRPr="00D13D4E">
              <w:rPr>
                <w:bCs/>
                <w:vertAlign w:val="superscript"/>
              </w:rPr>
              <w:t>st</w:t>
            </w:r>
            <w:r w:rsidR="00EE3295" w:rsidRPr="00D13D4E">
              <w:rPr>
                <w:bCs/>
              </w:rPr>
              <w:t xml:space="preserve"> </w:t>
            </w:r>
            <w:r w:rsidRPr="00D13D4E">
              <w:rPr>
                <w:bCs/>
              </w:rPr>
              <w:t xml:space="preserve">draft of e-HR as-is and to-be processes involving HR staff from CoMSEC, MoP and MoST. </w:t>
            </w:r>
          </w:p>
          <w:p w:rsidR="00365C5D" w:rsidRPr="00D13D4E" w:rsidRDefault="00365C5D" w:rsidP="00365C5D">
            <w:pPr>
              <w:widowControl/>
              <w:spacing w:before="40" w:after="40"/>
              <w:rPr>
                <w:rFonts w:ascii="Calibri" w:hAnsi="Calibri"/>
                <w:b/>
                <w:szCs w:val="22"/>
              </w:rPr>
            </w:pPr>
            <w:r w:rsidRPr="00D13D4E">
              <w:rPr>
                <w:rFonts w:ascii="Calibri" w:hAnsi="Calibri"/>
                <w:b/>
                <w:szCs w:val="22"/>
              </w:rPr>
              <w:t>UNDP: IDMS</w:t>
            </w:r>
          </w:p>
          <w:p w:rsidR="00365C5D" w:rsidRPr="00D13D4E" w:rsidRDefault="00365C5D" w:rsidP="00D17B38">
            <w:pPr>
              <w:pStyle w:val="ListParagraph"/>
              <w:numPr>
                <w:ilvl w:val="0"/>
                <w:numId w:val="5"/>
              </w:numPr>
              <w:spacing w:after="120" w:line="240" w:lineRule="auto"/>
              <w:ind w:left="432" w:hanging="274"/>
              <w:rPr>
                <w:bCs/>
              </w:rPr>
            </w:pPr>
            <w:r w:rsidRPr="00D13D4E">
              <w:rPr>
                <w:bCs/>
              </w:rPr>
              <w:t>Three workshops were conducted in Armenia on “</w:t>
            </w:r>
            <w:r w:rsidRPr="00D13D4E">
              <w:rPr>
                <w:bCs/>
                <w:i/>
                <w:iCs/>
              </w:rPr>
              <w:t>Advanced Technical Training on the Use and Operation of Iraq Development Management System</w:t>
            </w:r>
            <w:r w:rsidRPr="00D13D4E">
              <w:rPr>
                <w:bCs/>
              </w:rPr>
              <w:t>” (IDMS</w:t>
            </w:r>
            <w:r w:rsidR="007D715F" w:rsidRPr="00D13D4E">
              <w:rPr>
                <w:bCs/>
              </w:rPr>
              <w:t>)</w:t>
            </w:r>
          </w:p>
          <w:p w:rsidR="008E62CB" w:rsidRPr="00D13D4E" w:rsidRDefault="008E62CB" w:rsidP="008E62CB">
            <w:pPr>
              <w:widowControl/>
              <w:spacing w:before="40" w:after="40"/>
              <w:rPr>
                <w:rFonts w:ascii="Calibri" w:hAnsi="Calibri"/>
                <w:b/>
                <w:szCs w:val="22"/>
              </w:rPr>
            </w:pPr>
            <w:r w:rsidRPr="00D13D4E">
              <w:rPr>
                <w:rFonts w:ascii="Calibri" w:hAnsi="Calibri"/>
                <w:b/>
                <w:szCs w:val="22"/>
              </w:rPr>
              <w:t>UNDP: SES</w:t>
            </w:r>
          </w:p>
          <w:p w:rsidR="008E62CB" w:rsidRPr="00D13D4E" w:rsidRDefault="008E62CB" w:rsidP="00D17B38">
            <w:pPr>
              <w:pStyle w:val="ListParagraph"/>
              <w:numPr>
                <w:ilvl w:val="0"/>
                <w:numId w:val="5"/>
              </w:numPr>
              <w:spacing w:after="120" w:line="240" w:lineRule="auto"/>
              <w:ind w:left="432" w:hanging="274"/>
              <w:rPr>
                <w:bCs/>
              </w:rPr>
            </w:pPr>
            <w:r w:rsidRPr="00D13D4E">
              <w:rPr>
                <w:bCs/>
              </w:rPr>
              <w:t>With support provided by UNDP, “</w:t>
            </w:r>
            <w:r w:rsidRPr="00D13D4E">
              <w:rPr>
                <w:bCs/>
                <w:i/>
                <w:iCs/>
              </w:rPr>
              <w:t>SES Higher Committee</w:t>
            </w:r>
            <w:r w:rsidRPr="00D13D4E">
              <w:rPr>
                <w:bCs/>
              </w:rPr>
              <w:t>” was formed by C</w:t>
            </w:r>
            <w:r w:rsidR="007317EE" w:rsidRPr="00D13D4E">
              <w:rPr>
                <w:bCs/>
              </w:rPr>
              <w:t>o</w:t>
            </w:r>
            <w:r w:rsidRPr="00D13D4E">
              <w:rPr>
                <w:bCs/>
              </w:rPr>
              <w:t>MSEC to oversee the implementation of SES system, and similarly “SES Secretariat”</w:t>
            </w:r>
          </w:p>
          <w:p w:rsidR="008E62CB" w:rsidRPr="00D13D4E" w:rsidRDefault="008E62CB" w:rsidP="00D17B38">
            <w:pPr>
              <w:pStyle w:val="ListParagraph"/>
              <w:numPr>
                <w:ilvl w:val="0"/>
                <w:numId w:val="5"/>
              </w:numPr>
              <w:spacing w:after="120" w:line="240" w:lineRule="auto"/>
              <w:ind w:left="432" w:hanging="274"/>
              <w:rPr>
                <w:bCs/>
              </w:rPr>
            </w:pPr>
            <w:r w:rsidRPr="00D13D4E">
              <w:rPr>
                <w:bCs/>
              </w:rPr>
              <w:t>Senior Executive Service System gap survey was launched to identify the existing capacities of a sample Director Generals in Iraq to inform the design of the respective capacity develop program. </w:t>
            </w:r>
          </w:p>
          <w:p w:rsidR="008E62CB" w:rsidRPr="00D13D4E" w:rsidRDefault="00660A97" w:rsidP="00D17B38">
            <w:pPr>
              <w:pStyle w:val="ListParagraph"/>
              <w:numPr>
                <w:ilvl w:val="0"/>
                <w:numId w:val="5"/>
              </w:numPr>
              <w:spacing w:after="120" w:line="240" w:lineRule="auto"/>
              <w:ind w:left="432" w:hanging="274"/>
              <w:rPr>
                <w:bCs/>
              </w:rPr>
            </w:pPr>
            <w:r w:rsidRPr="00D13D4E">
              <w:rPr>
                <w:bCs/>
              </w:rPr>
              <w:t>O</w:t>
            </w:r>
            <w:r w:rsidR="008E62CB" w:rsidRPr="00D13D4E">
              <w:rPr>
                <w:bCs/>
              </w:rPr>
              <w:t>ne-week follow-up mission was conducted by Institute on Governance - Canada (IoG) on the operationalization of SES system in Baghdad and the launching of the first wave of training program.</w:t>
            </w:r>
          </w:p>
          <w:p w:rsidR="008E62CB" w:rsidRPr="00D13D4E" w:rsidRDefault="008E62CB" w:rsidP="00D17B38">
            <w:pPr>
              <w:pStyle w:val="ListParagraph"/>
              <w:numPr>
                <w:ilvl w:val="0"/>
                <w:numId w:val="5"/>
              </w:numPr>
              <w:spacing w:after="120" w:line="240" w:lineRule="auto"/>
              <w:ind w:left="432" w:hanging="274"/>
              <w:rPr>
                <w:bCs/>
              </w:rPr>
            </w:pPr>
            <w:r w:rsidRPr="00D13D4E">
              <w:rPr>
                <w:bCs/>
              </w:rPr>
              <w:t>A high-level meeting was organized on “</w:t>
            </w:r>
            <w:r w:rsidRPr="00D13D4E">
              <w:rPr>
                <w:bCs/>
                <w:i/>
                <w:iCs/>
              </w:rPr>
              <w:t>Senior Executive Service System</w:t>
            </w:r>
            <w:r w:rsidRPr="00D13D4E">
              <w:rPr>
                <w:bCs/>
              </w:rPr>
              <w:t>” (SES) and attended by the three Deputies of the Iraqi Prime Minister, the SES Higher Committee Members, UNDP CD, IoG team of Experts, and IPSM representative.</w:t>
            </w:r>
          </w:p>
          <w:p w:rsidR="00E655FC" w:rsidRPr="00D13D4E" w:rsidRDefault="008E62CB" w:rsidP="00D17B38">
            <w:pPr>
              <w:pStyle w:val="ListParagraph"/>
              <w:numPr>
                <w:ilvl w:val="0"/>
                <w:numId w:val="5"/>
              </w:numPr>
              <w:spacing w:after="120" w:line="240" w:lineRule="auto"/>
              <w:ind w:left="432" w:hanging="274"/>
              <w:rPr>
                <w:bCs/>
              </w:rPr>
            </w:pPr>
            <w:r w:rsidRPr="00D13D4E">
              <w:rPr>
                <w:bCs/>
              </w:rPr>
              <w:t>A Request for Proposal (RFP) for “</w:t>
            </w:r>
            <w:r w:rsidRPr="00D13D4E">
              <w:rPr>
                <w:bCs/>
                <w:i/>
                <w:iCs/>
              </w:rPr>
              <w:t>Launching and Implementing the Senior Executive Service (SES) Pilot Project for the Government of Iraq</w:t>
            </w:r>
            <w:r w:rsidRPr="00D13D4E">
              <w:rPr>
                <w:bCs/>
              </w:rPr>
              <w:t xml:space="preserve">” was drafted and being revised for advertisement. </w:t>
            </w:r>
          </w:p>
        </w:tc>
        <w:tc>
          <w:tcPr>
            <w:tcW w:w="990" w:type="dxa"/>
          </w:tcPr>
          <w:p w:rsidR="00622E6E" w:rsidRPr="00D13D4E" w:rsidRDefault="00622E6E" w:rsidP="00FC767A">
            <w:pPr>
              <w:spacing w:before="40" w:after="40"/>
              <w:jc w:val="center"/>
              <w:rPr>
                <w:rFonts w:ascii="Calibri" w:hAnsi="Calibri"/>
                <w:b/>
                <w:szCs w:val="22"/>
              </w:rPr>
            </w:pPr>
          </w:p>
          <w:p w:rsidR="00C46665" w:rsidRPr="00D13D4E" w:rsidRDefault="006F1D34" w:rsidP="00FC767A">
            <w:pPr>
              <w:spacing w:before="40" w:after="40"/>
              <w:jc w:val="center"/>
              <w:rPr>
                <w:rFonts w:ascii="Calibri" w:hAnsi="Calibri"/>
                <w:b/>
                <w:szCs w:val="22"/>
              </w:rPr>
            </w:pPr>
            <w:r w:rsidRPr="00D13D4E">
              <w:rPr>
                <w:rFonts w:ascii="Calibri" w:hAnsi="Calibri"/>
                <w:b/>
                <w:szCs w:val="22"/>
              </w:rPr>
              <w:t>35%</w:t>
            </w:r>
          </w:p>
          <w:p w:rsidR="00424ED9" w:rsidRPr="00D13D4E" w:rsidRDefault="00424ED9" w:rsidP="00FC767A">
            <w:pPr>
              <w:spacing w:before="40" w:after="40"/>
              <w:jc w:val="center"/>
              <w:rPr>
                <w:rFonts w:ascii="Calibri" w:hAnsi="Calibri"/>
                <w:b/>
                <w:szCs w:val="22"/>
              </w:rPr>
            </w:pPr>
          </w:p>
          <w:p w:rsidR="00424ED9" w:rsidRPr="00D13D4E" w:rsidRDefault="00424ED9" w:rsidP="00FC767A">
            <w:pPr>
              <w:spacing w:before="40" w:after="40"/>
              <w:jc w:val="center"/>
              <w:rPr>
                <w:rFonts w:ascii="Calibri" w:hAnsi="Calibri"/>
                <w:b/>
                <w:szCs w:val="22"/>
              </w:rPr>
            </w:pPr>
          </w:p>
          <w:p w:rsidR="00424ED9" w:rsidRPr="00D13D4E" w:rsidRDefault="00424ED9" w:rsidP="00FC767A">
            <w:pPr>
              <w:spacing w:before="40" w:after="40"/>
              <w:jc w:val="center"/>
              <w:rPr>
                <w:rFonts w:ascii="Calibri" w:hAnsi="Calibri"/>
                <w:b/>
                <w:szCs w:val="22"/>
              </w:rPr>
            </w:pPr>
          </w:p>
          <w:p w:rsidR="00424ED9" w:rsidRPr="00D13D4E" w:rsidRDefault="00424ED9" w:rsidP="00FC767A">
            <w:pPr>
              <w:spacing w:before="40" w:after="40"/>
              <w:jc w:val="center"/>
              <w:rPr>
                <w:rFonts w:ascii="Calibri" w:hAnsi="Calibri"/>
                <w:b/>
                <w:szCs w:val="22"/>
              </w:rPr>
            </w:pPr>
          </w:p>
          <w:p w:rsidR="00424ED9" w:rsidRPr="00D13D4E" w:rsidRDefault="00424ED9" w:rsidP="00FC767A">
            <w:pPr>
              <w:spacing w:before="40" w:after="40"/>
              <w:jc w:val="center"/>
              <w:rPr>
                <w:rFonts w:ascii="Calibri" w:hAnsi="Calibri"/>
                <w:b/>
                <w:szCs w:val="22"/>
              </w:rPr>
            </w:pPr>
          </w:p>
          <w:p w:rsidR="00424ED9" w:rsidRPr="00D13D4E" w:rsidRDefault="00424ED9" w:rsidP="00FC767A">
            <w:pPr>
              <w:spacing w:before="40" w:after="40"/>
              <w:jc w:val="center"/>
              <w:rPr>
                <w:rFonts w:ascii="Calibri" w:hAnsi="Calibri"/>
                <w:b/>
                <w:szCs w:val="22"/>
              </w:rPr>
            </w:pPr>
            <w:r w:rsidRPr="00D13D4E">
              <w:rPr>
                <w:rFonts w:ascii="Calibri" w:hAnsi="Calibri"/>
                <w:b/>
                <w:szCs w:val="22"/>
              </w:rPr>
              <w:t>100%</w:t>
            </w:r>
          </w:p>
          <w:p w:rsidR="006F1D34" w:rsidRPr="00D13D4E" w:rsidRDefault="006F1D34" w:rsidP="00FC767A">
            <w:pPr>
              <w:spacing w:before="40" w:after="40"/>
              <w:jc w:val="center"/>
              <w:rPr>
                <w:rFonts w:ascii="Calibri" w:hAnsi="Calibri"/>
                <w:b/>
                <w:szCs w:val="22"/>
              </w:rPr>
            </w:pPr>
          </w:p>
          <w:p w:rsidR="006F1D34" w:rsidRPr="00D13D4E" w:rsidRDefault="006F1D34" w:rsidP="00FC767A">
            <w:pPr>
              <w:spacing w:before="40" w:after="40"/>
              <w:jc w:val="center"/>
              <w:rPr>
                <w:rFonts w:ascii="Calibri" w:hAnsi="Calibri"/>
                <w:b/>
                <w:szCs w:val="22"/>
              </w:rPr>
            </w:pPr>
          </w:p>
          <w:p w:rsidR="006F1D34" w:rsidRPr="00D13D4E" w:rsidRDefault="006F1D34" w:rsidP="00FC767A">
            <w:pPr>
              <w:spacing w:before="40" w:after="40"/>
              <w:jc w:val="center"/>
              <w:rPr>
                <w:rFonts w:ascii="Calibri" w:hAnsi="Calibri"/>
                <w:b/>
                <w:szCs w:val="22"/>
              </w:rPr>
            </w:pPr>
          </w:p>
          <w:p w:rsidR="006F1D34" w:rsidRPr="00D13D4E" w:rsidRDefault="006F1D34" w:rsidP="00FC767A">
            <w:pPr>
              <w:spacing w:before="40" w:after="40"/>
              <w:jc w:val="center"/>
              <w:rPr>
                <w:rFonts w:ascii="Calibri" w:hAnsi="Calibri"/>
                <w:b/>
                <w:szCs w:val="22"/>
              </w:rPr>
            </w:pPr>
          </w:p>
          <w:p w:rsidR="006F1D34" w:rsidRPr="00D13D4E" w:rsidRDefault="006F1D34" w:rsidP="00FC767A">
            <w:pPr>
              <w:spacing w:before="40" w:after="40"/>
              <w:jc w:val="center"/>
              <w:rPr>
                <w:rFonts w:ascii="Calibri" w:hAnsi="Calibri"/>
                <w:b/>
                <w:szCs w:val="22"/>
              </w:rPr>
            </w:pPr>
            <w:r w:rsidRPr="00D13D4E">
              <w:rPr>
                <w:rFonts w:ascii="Calibri" w:hAnsi="Calibri"/>
                <w:b/>
                <w:szCs w:val="22"/>
              </w:rPr>
              <w:t>20%</w:t>
            </w:r>
          </w:p>
        </w:tc>
      </w:tr>
      <w:tr w:rsidR="00DD16E0" w:rsidRPr="00D13D4E" w:rsidTr="00D97DAB">
        <w:trPr>
          <w:trHeight w:val="53"/>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lang w:eastAsia="en-IN" w:bidi="hi-IN"/>
              </w:rPr>
            </w:pPr>
          </w:p>
        </w:tc>
        <w:tc>
          <w:tcPr>
            <w:tcW w:w="7128" w:type="dxa"/>
          </w:tcPr>
          <w:p w:rsidR="007D0B93" w:rsidRPr="00D13D4E" w:rsidRDefault="007D0B93" w:rsidP="00DF2601">
            <w:pPr>
              <w:widowControl/>
              <w:spacing w:before="40" w:after="40"/>
              <w:rPr>
                <w:rFonts w:ascii="Calibri" w:hAnsi="Calibri"/>
                <w:b/>
                <w:szCs w:val="22"/>
              </w:rPr>
            </w:pPr>
            <w:r w:rsidRPr="00D13D4E">
              <w:rPr>
                <w:rFonts w:ascii="Calibri" w:hAnsi="Calibri"/>
                <w:b/>
                <w:szCs w:val="22"/>
              </w:rPr>
              <w:t>UNESCWA</w:t>
            </w:r>
          </w:p>
          <w:p w:rsidR="00DB166B" w:rsidRPr="00D13D4E" w:rsidRDefault="00DB166B" w:rsidP="00D17B38">
            <w:pPr>
              <w:pStyle w:val="ListParagraph"/>
              <w:numPr>
                <w:ilvl w:val="0"/>
                <w:numId w:val="5"/>
              </w:numPr>
              <w:spacing w:after="120" w:line="240" w:lineRule="auto"/>
              <w:ind w:left="432" w:hanging="274"/>
              <w:rPr>
                <w:bCs/>
              </w:rPr>
            </w:pPr>
            <w:r w:rsidRPr="00D13D4E">
              <w:rPr>
                <w:bCs/>
              </w:rPr>
              <w:t>The first “</w:t>
            </w:r>
            <w:r w:rsidRPr="00D13D4E">
              <w:rPr>
                <w:bCs/>
                <w:i/>
                <w:iCs/>
              </w:rPr>
              <w:t>Knowledge Management Familiarization Seminar</w:t>
            </w:r>
            <w:r w:rsidRPr="00D13D4E">
              <w:rPr>
                <w:bCs/>
              </w:rPr>
              <w:t xml:space="preserve">” was organized in Baghdad at National Centre for Management Development and Information Technology </w:t>
            </w:r>
            <w:r w:rsidR="00E11891" w:rsidRPr="00D13D4E">
              <w:rPr>
                <w:bCs/>
              </w:rPr>
              <w:t xml:space="preserve">(NCMDIT) </w:t>
            </w:r>
            <w:r w:rsidRPr="00D13D4E">
              <w:rPr>
                <w:bCs/>
              </w:rPr>
              <w:t xml:space="preserve">in collaboration with JAU- UNAMI. </w:t>
            </w:r>
          </w:p>
          <w:p w:rsidR="00DB166B" w:rsidRPr="00D13D4E" w:rsidRDefault="00DB166B" w:rsidP="00D17B38">
            <w:pPr>
              <w:pStyle w:val="ListParagraph"/>
              <w:numPr>
                <w:ilvl w:val="0"/>
                <w:numId w:val="5"/>
              </w:numPr>
              <w:spacing w:after="120" w:line="240" w:lineRule="auto"/>
              <w:ind w:left="432" w:hanging="274"/>
              <w:rPr>
                <w:bCs/>
              </w:rPr>
            </w:pPr>
            <w:r w:rsidRPr="00D13D4E">
              <w:rPr>
                <w:bCs/>
              </w:rPr>
              <w:t>The second “</w:t>
            </w:r>
            <w:r w:rsidRPr="00D13D4E">
              <w:rPr>
                <w:bCs/>
                <w:i/>
                <w:iCs/>
              </w:rPr>
              <w:t>Knowledge Management Familiarization Seminar</w:t>
            </w:r>
            <w:r w:rsidRPr="00D13D4E">
              <w:rPr>
                <w:bCs/>
              </w:rPr>
              <w:t>” was held in Erbil for KIPA in close collaboration with JAU/UNAMI.</w:t>
            </w:r>
          </w:p>
          <w:p w:rsidR="00DB166B" w:rsidRPr="00D13D4E" w:rsidRDefault="00DB166B" w:rsidP="00D17B38">
            <w:pPr>
              <w:pStyle w:val="ListParagraph"/>
              <w:numPr>
                <w:ilvl w:val="0"/>
                <w:numId w:val="5"/>
              </w:numPr>
              <w:spacing w:after="120" w:line="240" w:lineRule="auto"/>
              <w:ind w:left="432" w:hanging="274"/>
              <w:rPr>
                <w:bCs/>
              </w:rPr>
            </w:pPr>
            <w:r w:rsidRPr="00D13D4E">
              <w:rPr>
                <w:bCs/>
              </w:rPr>
              <w:lastRenderedPageBreak/>
              <w:t>An eight-day capacity development workshop was organized in Istanbul on “</w:t>
            </w:r>
            <w:r w:rsidRPr="00D13D4E">
              <w:rPr>
                <w:bCs/>
                <w:i/>
                <w:iCs/>
              </w:rPr>
              <w:t>Change Management in Public Sector Reform</w:t>
            </w:r>
            <w:r w:rsidRPr="00D13D4E">
              <w:rPr>
                <w:bCs/>
              </w:rPr>
              <w:t xml:space="preserve">”, </w:t>
            </w:r>
            <w:r w:rsidR="000330CC" w:rsidRPr="00D13D4E">
              <w:rPr>
                <w:bCs/>
              </w:rPr>
              <w:t xml:space="preserve">targeting </w:t>
            </w:r>
            <w:r w:rsidRPr="00D13D4E">
              <w:rPr>
                <w:bCs/>
              </w:rPr>
              <w:t>NCMDIT in Baghdad and KIPA in Erbil</w:t>
            </w:r>
          </w:p>
          <w:p w:rsidR="00DB166B" w:rsidRPr="00D13D4E" w:rsidRDefault="00DB166B" w:rsidP="00D17B38">
            <w:pPr>
              <w:pStyle w:val="ListParagraph"/>
              <w:numPr>
                <w:ilvl w:val="0"/>
                <w:numId w:val="5"/>
              </w:numPr>
              <w:spacing w:after="120" w:line="240" w:lineRule="auto"/>
              <w:ind w:left="432" w:hanging="274"/>
              <w:rPr>
                <w:bCs/>
              </w:rPr>
            </w:pPr>
            <w:r w:rsidRPr="00D13D4E">
              <w:rPr>
                <w:bCs/>
              </w:rPr>
              <w:t>Two draft documents were developed on the “</w:t>
            </w:r>
            <w:r w:rsidRPr="00D13D4E">
              <w:rPr>
                <w:bCs/>
                <w:i/>
                <w:iCs/>
              </w:rPr>
              <w:t>Change Management Roadmaps</w:t>
            </w:r>
            <w:r w:rsidRPr="00D13D4E">
              <w:rPr>
                <w:bCs/>
              </w:rPr>
              <w:t>” for NCMDIT and KIPA.</w:t>
            </w:r>
          </w:p>
          <w:p w:rsidR="00DB166B" w:rsidRPr="00D13D4E" w:rsidRDefault="00DB166B" w:rsidP="00D17B38">
            <w:pPr>
              <w:pStyle w:val="ListParagraph"/>
              <w:numPr>
                <w:ilvl w:val="0"/>
                <w:numId w:val="5"/>
              </w:numPr>
              <w:spacing w:after="120" w:line="240" w:lineRule="auto"/>
              <w:ind w:left="432" w:hanging="274"/>
              <w:rPr>
                <w:bCs/>
              </w:rPr>
            </w:pPr>
            <w:r w:rsidRPr="00D13D4E">
              <w:rPr>
                <w:bCs/>
              </w:rPr>
              <w:t xml:space="preserve">A meeting was held with KRG Minister of Planning to discuss the implementation of KIPA roadmap for Change Management developed during Istanbul workshop, and also the funding arrangements for K-PSM. </w:t>
            </w:r>
          </w:p>
        </w:tc>
        <w:tc>
          <w:tcPr>
            <w:tcW w:w="990" w:type="dxa"/>
          </w:tcPr>
          <w:p w:rsidR="0061473B" w:rsidRPr="00D13D4E" w:rsidRDefault="0061473B" w:rsidP="00FC767A">
            <w:pPr>
              <w:spacing w:before="40" w:after="40"/>
              <w:jc w:val="center"/>
              <w:rPr>
                <w:rFonts w:ascii="Calibri" w:hAnsi="Calibri"/>
                <w:b/>
                <w:szCs w:val="22"/>
              </w:rPr>
            </w:pPr>
          </w:p>
          <w:p w:rsidR="007D0B93" w:rsidRPr="00D13D4E" w:rsidRDefault="0061473B" w:rsidP="00FC767A">
            <w:pPr>
              <w:spacing w:before="40" w:after="40"/>
              <w:jc w:val="center"/>
              <w:rPr>
                <w:rFonts w:ascii="Calibri" w:hAnsi="Calibri"/>
                <w:b/>
                <w:szCs w:val="22"/>
              </w:rPr>
            </w:pPr>
            <w:r w:rsidRPr="00D13D4E">
              <w:rPr>
                <w:rFonts w:ascii="Calibri" w:hAnsi="Calibri"/>
                <w:b/>
                <w:szCs w:val="22"/>
              </w:rPr>
              <w:t>40%</w:t>
            </w:r>
          </w:p>
        </w:tc>
      </w:tr>
      <w:tr w:rsidR="00DD16E0" w:rsidRPr="00D13D4E" w:rsidTr="00087F28">
        <w:trPr>
          <w:trHeight w:val="1520"/>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tcPr>
          <w:p w:rsidR="00595988" w:rsidRPr="00D13D4E" w:rsidRDefault="007D0B93" w:rsidP="00847204">
            <w:pPr>
              <w:widowControl/>
              <w:spacing w:before="40" w:after="40"/>
              <w:rPr>
                <w:rFonts w:ascii="Calibri" w:hAnsi="Calibri"/>
                <w:b/>
                <w:bCs/>
                <w:szCs w:val="22"/>
                <w:lang w:val="en-US"/>
              </w:rPr>
            </w:pPr>
            <w:r w:rsidRPr="00D13D4E">
              <w:rPr>
                <w:rFonts w:ascii="Calibri" w:hAnsi="Calibri"/>
                <w:b/>
                <w:bCs/>
                <w:szCs w:val="22"/>
                <w:lang w:val="en-US"/>
              </w:rPr>
              <w:t>UNFPA</w:t>
            </w:r>
          </w:p>
          <w:p w:rsidR="00847204" w:rsidRPr="00D13D4E" w:rsidRDefault="00847204" w:rsidP="00D17B38">
            <w:pPr>
              <w:pStyle w:val="ListParagraph"/>
              <w:numPr>
                <w:ilvl w:val="0"/>
                <w:numId w:val="5"/>
              </w:numPr>
              <w:spacing w:after="120" w:line="240" w:lineRule="auto"/>
              <w:ind w:left="432" w:hanging="274"/>
              <w:rPr>
                <w:bCs/>
              </w:rPr>
            </w:pPr>
            <w:r w:rsidRPr="00D13D4E">
              <w:rPr>
                <w:bCs/>
              </w:rPr>
              <w:t>Three consultancy missions were planned by AUB on “</w:t>
            </w:r>
            <w:r w:rsidRPr="00D13D4E">
              <w:rPr>
                <w:bCs/>
                <w:i/>
                <w:iCs/>
              </w:rPr>
              <w:t>Decentralization and Youth Participation in Decision Making Process</w:t>
            </w:r>
            <w:r w:rsidRPr="00D13D4E">
              <w:rPr>
                <w:bCs/>
              </w:rPr>
              <w:t>” to take place right after the Holy Month of Ramadan.</w:t>
            </w:r>
          </w:p>
          <w:p w:rsidR="00847204" w:rsidRPr="00D13D4E" w:rsidRDefault="00847204" w:rsidP="00D17B38">
            <w:pPr>
              <w:pStyle w:val="ListParagraph"/>
              <w:numPr>
                <w:ilvl w:val="0"/>
                <w:numId w:val="5"/>
              </w:numPr>
              <w:spacing w:after="120" w:line="240" w:lineRule="auto"/>
              <w:ind w:left="432" w:hanging="274"/>
              <w:rPr>
                <w:bCs/>
              </w:rPr>
            </w:pPr>
            <w:r w:rsidRPr="00D13D4E">
              <w:rPr>
                <w:bCs/>
              </w:rPr>
              <w:t xml:space="preserve">One mission was conducted to KRSO in Erbil by GOPA to develop data </w:t>
            </w:r>
            <w:r w:rsidR="003C0E2C" w:rsidRPr="00D13D4E">
              <w:rPr>
                <w:bCs/>
              </w:rPr>
              <w:t>centre</w:t>
            </w:r>
            <w:r w:rsidRPr="00D13D4E">
              <w:rPr>
                <w:bCs/>
              </w:rPr>
              <w:t xml:space="preserve"> that meets the needs of statistical production and data dissemination </w:t>
            </w:r>
          </w:p>
          <w:p w:rsidR="00847204" w:rsidRPr="00D13D4E" w:rsidRDefault="00847204" w:rsidP="00D17B38">
            <w:pPr>
              <w:pStyle w:val="ListParagraph"/>
              <w:numPr>
                <w:ilvl w:val="0"/>
                <w:numId w:val="5"/>
              </w:numPr>
              <w:spacing w:after="120" w:line="240" w:lineRule="auto"/>
              <w:ind w:left="432" w:hanging="274"/>
              <w:rPr>
                <w:bCs/>
              </w:rPr>
            </w:pPr>
            <w:r w:rsidRPr="00D13D4E">
              <w:rPr>
                <w:bCs/>
              </w:rPr>
              <w:t xml:space="preserve">One mission was conducted to KRSO in Erbil by GOPA on </w:t>
            </w:r>
            <w:r w:rsidR="004B783D" w:rsidRPr="00D13D4E">
              <w:rPr>
                <w:bCs/>
              </w:rPr>
              <w:t>“</w:t>
            </w:r>
            <w:r w:rsidRPr="00D13D4E">
              <w:rPr>
                <w:bCs/>
                <w:i/>
                <w:iCs/>
              </w:rPr>
              <w:t>Dissemination</w:t>
            </w:r>
            <w:r w:rsidRPr="00D13D4E">
              <w:rPr>
                <w:bCs/>
              </w:rPr>
              <w:t>”</w:t>
            </w:r>
          </w:p>
        </w:tc>
        <w:tc>
          <w:tcPr>
            <w:tcW w:w="990" w:type="dxa"/>
          </w:tcPr>
          <w:p w:rsidR="003521F0" w:rsidRPr="00D13D4E" w:rsidRDefault="003521F0" w:rsidP="00FC767A">
            <w:pPr>
              <w:spacing w:before="40" w:after="40"/>
              <w:jc w:val="center"/>
              <w:rPr>
                <w:rFonts w:ascii="Calibri" w:hAnsi="Calibri"/>
                <w:b/>
                <w:szCs w:val="22"/>
              </w:rPr>
            </w:pPr>
          </w:p>
          <w:p w:rsidR="007D0B93" w:rsidRPr="00D13D4E" w:rsidRDefault="00721C63" w:rsidP="00FC767A">
            <w:pPr>
              <w:spacing w:before="40" w:after="40"/>
              <w:jc w:val="center"/>
              <w:rPr>
                <w:rFonts w:ascii="Calibri" w:hAnsi="Calibri"/>
                <w:b/>
                <w:szCs w:val="22"/>
              </w:rPr>
            </w:pPr>
            <w:r w:rsidRPr="00D13D4E">
              <w:rPr>
                <w:rFonts w:ascii="Calibri" w:hAnsi="Calibri"/>
                <w:b/>
                <w:szCs w:val="22"/>
              </w:rPr>
              <w:t>25%</w:t>
            </w:r>
          </w:p>
        </w:tc>
      </w:tr>
      <w:tr w:rsidR="00DD16E0" w:rsidRPr="00D13D4E" w:rsidTr="00D97DAB">
        <w:trPr>
          <w:trHeight w:val="350"/>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tcBorders>
              <w:bottom w:val="single" w:sz="4" w:space="0" w:color="auto"/>
            </w:tcBorders>
          </w:tcPr>
          <w:p w:rsidR="007D0B93" w:rsidRPr="00D13D4E" w:rsidRDefault="007D0B93" w:rsidP="00DF2601">
            <w:pPr>
              <w:widowControl/>
              <w:spacing w:before="40" w:after="40"/>
              <w:rPr>
                <w:rFonts w:ascii="Calibri" w:hAnsi="Calibri"/>
                <w:b/>
                <w:bCs/>
                <w:szCs w:val="22"/>
                <w:lang w:val="en-US"/>
              </w:rPr>
            </w:pPr>
            <w:r w:rsidRPr="00D13D4E">
              <w:rPr>
                <w:rFonts w:ascii="Calibri" w:hAnsi="Calibri"/>
                <w:b/>
                <w:bCs/>
                <w:szCs w:val="22"/>
                <w:lang w:val="en-US"/>
              </w:rPr>
              <w:t>UNWOMEN</w:t>
            </w:r>
          </w:p>
          <w:p w:rsidR="007C6B06" w:rsidRPr="00D13D4E" w:rsidRDefault="007C6B06" w:rsidP="00D17B38">
            <w:pPr>
              <w:pStyle w:val="ListParagraph"/>
              <w:numPr>
                <w:ilvl w:val="0"/>
                <w:numId w:val="5"/>
              </w:numPr>
              <w:spacing w:after="120" w:line="240" w:lineRule="auto"/>
              <w:ind w:left="432" w:hanging="274"/>
              <w:rPr>
                <w:bCs/>
              </w:rPr>
            </w:pPr>
            <w:r w:rsidRPr="00D13D4E">
              <w:rPr>
                <w:bCs/>
              </w:rPr>
              <w:t>A three-day workshop on “</w:t>
            </w:r>
            <w:r w:rsidRPr="00D13D4E">
              <w:rPr>
                <w:bCs/>
                <w:i/>
                <w:iCs/>
              </w:rPr>
              <w:t>Gender Responsive Budgeting</w:t>
            </w:r>
            <w:r w:rsidRPr="00D13D4E">
              <w:rPr>
                <w:bCs/>
              </w:rPr>
              <w:t>” was conducted targeting the Ministry of Finance (MoF) staff.</w:t>
            </w:r>
          </w:p>
          <w:p w:rsidR="00933359" w:rsidRPr="00D13D4E" w:rsidRDefault="00933359" w:rsidP="00D17B38">
            <w:pPr>
              <w:pStyle w:val="ListParagraph"/>
              <w:numPr>
                <w:ilvl w:val="0"/>
                <w:numId w:val="5"/>
              </w:numPr>
              <w:spacing w:after="120" w:line="240" w:lineRule="auto"/>
              <w:ind w:left="432" w:hanging="274"/>
              <w:rPr>
                <w:bCs/>
              </w:rPr>
            </w:pPr>
            <w:r w:rsidRPr="00D13D4E">
              <w:rPr>
                <w:bCs/>
              </w:rPr>
              <w:t>A Second workshop was organized for Diwaniya officials on GRB implementation tools and mechanisms</w:t>
            </w:r>
            <w:r w:rsidR="00F525F9" w:rsidRPr="00D13D4E">
              <w:rPr>
                <w:bCs/>
              </w:rPr>
              <w:t>.</w:t>
            </w:r>
          </w:p>
          <w:p w:rsidR="007C6B06" w:rsidRPr="00D13D4E" w:rsidRDefault="007C6B06" w:rsidP="00D17B38">
            <w:pPr>
              <w:pStyle w:val="ListParagraph"/>
              <w:numPr>
                <w:ilvl w:val="0"/>
                <w:numId w:val="5"/>
              </w:numPr>
              <w:spacing w:after="120" w:line="240" w:lineRule="auto"/>
              <w:ind w:left="432" w:hanging="274"/>
              <w:rPr>
                <w:bCs/>
              </w:rPr>
            </w:pPr>
            <w:r w:rsidRPr="00D13D4E">
              <w:rPr>
                <w:bCs/>
              </w:rPr>
              <w:t>A meeting was held with MoWA on advancing the work of the National Network on GRB and means of collaboration with the Higher Committee of Financial Reform</w:t>
            </w:r>
          </w:p>
          <w:p w:rsidR="007C6B06" w:rsidRPr="00D13D4E" w:rsidRDefault="007C6B06" w:rsidP="00D17B38">
            <w:pPr>
              <w:pStyle w:val="ListParagraph"/>
              <w:numPr>
                <w:ilvl w:val="0"/>
                <w:numId w:val="5"/>
              </w:numPr>
              <w:spacing w:after="120" w:line="240" w:lineRule="auto"/>
              <w:ind w:left="432" w:hanging="274"/>
              <w:rPr>
                <w:b/>
                <w:bCs/>
              </w:rPr>
            </w:pPr>
            <w:r w:rsidRPr="00D13D4E">
              <w:rPr>
                <w:bCs/>
              </w:rPr>
              <w:t>A series of meetings were held with the Inter-Agency Information and Analysis Unit (IAU) and MoP to establish Knowledge Management Capacity Building Programme to strengthen Gender-Responsive Budgeting with the ministries of Education and Health on a pilot basis</w:t>
            </w:r>
            <w:r w:rsidRPr="00D13D4E">
              <w:rPr>
                <w:b/>
                <w:bCs/>
              </w:rPr>
              <w:t xml:space="preserve">. </w:t>
            </w:r>
          </w:p>
        </w:tc>
        <w:tc>
          <w:tcPr>
            <w:tcW w:w="990" w:type="dxa"/>
            <w:tcBorders>
              <w:bottom w:val="single" w:sz="4" w:space="0" w:color="auto"/>
            </w:tcBorders>
          </w:tcPr>
          <w:p w:rsidR="007D0B93" w:rsidRPr="00D13D4E" w:rsidRDefault="007D0B93" w:rsidP="00FC767A">
            <w:pPr>
              <w:spacing w:before="40" w:after="40"/>
              <w:jc w:val="center"/>
              <w:rPr>
                <w:rFonts w:ascii="Calibri" w:hAnsi="Calibri"/>
                <w:b/>
                <w:szCs w:val="22"/>
              </w:rPr>
            </w:pPr>
          </w:p>
          <w:p w:rsidR="002E7BC8" w:rsidRPr="00D13D4E" w:rsidRDefault="002E7BC8" w:rsidP="00FC767A">
            <w:pPr>
              <w:spacing w:before="40" w:after="40"/>
              <w:jc w:val="center"/>
              <w:rPr>
                <w:rFonts w:ascii="Calibri" w:hAnsi="Calibri"/>
                <w:b/>
                <w:szCs w:val="22"/>
              </w:rPr>
            </w:pPr>
            <w:r w:rsidRPr="00D13D4E">
              <w:rPr>
                <w:rFonts w:ascii="Calibri" w:hAnsi="Calibri"/>
                <w:b/>
                <w:szCs w:val="22"/>
              </w:rPr>
              <w:t>25%</w:t>
            </w:r>
          </w:p>
        </w:tc>
      </w:tr>
      <w:tr w:rsidR="00DD16E0" w:rsidRPr="00D13D4E" w:rsidTr="00D97DAB">
        <w:trPr>
          <w:trHeight w:val="56"/>
        </w:trPr>
        <w:tc>
          <w:tcPr>
            <w:tcW w:w="1980" w:type="dxa"/>
            <w:vMerge w:val="restart"/>
          </w:tcPr>
          <w:p w:rsidR="007D0B93" w:rsidRPr="00D13D4E" w:rsidRDefault="007D0B93" w:rsidP="00DF2601">
            <w:pPr>
              <w:widowControl/>
              <w:autoSpaceDE w:val="0"/>
              <w:autoSpaceDN w:val="0"/>
              <w:adjustRightInd w:val="0"/>
              <w:spacing w:before="40" w:after="40"/>
              <w:rPr>
                <w:rFonts w:ascii="Calibri" w:hAnsi="Calibri"/>
                <w:szCs w:val="22"/>
                <w:lang w:eastAsia="en-IN" w:bidi="hi-IN"/>
              </w:rPr>
            </w:pPr>
            <w:r w:rsidRPr="00D13D4E">
              <w:rPr>
                <w:rFonts w:ascii="Calibri" w:hAnsi="Calibri"/>
                <w:b/>
                <w:bCs/>
                <w:szCs w:val="22"/>
              </w:rPr>
              <w:t>JP Output 3:</w:t>
            </w:r>
            <w:r w:rsidRPr="00D13D4E">
              <w:rPr>
                <w:rFonts w:ascii="Calibri" w:hAnsi="Calibri"/>
                <w:szCs w:val="22"/>
              </w:rPr>
              <w:t xml:space="preserve"> </w:t>
            </w:r>
            <w:r w:rsidRPr="00D13D4E">
              <w:rPr>
                <w:rFonts w:ascii="Calibri" w:hAnsi="Calibri"/>
                <w:szCs w:val="22"/>
                <w:lang w:eastAsia="en-IN" w:bidi="hi-IN"/>
              </w:rPr>
              <w:t>GoI is implementing reform and modernization plans in Education, Health and WATSAN sectors</w:t>
            </w:r>
          </w:p>
        </w:tc>
        <w:tc>
          <w:tcPr>
            <w:tcW w:w="7128" w:type="dxa"/>
            <w:tcBorders>
              <w:bottom w:val="nil"/>
            </w:tcBorders>
          </w:tcPr>
          <w:p w:rsidR="007D0B93" w:rsidRPr="00D13D4E" w:rsidRDefault="007D0B93" w:rsidP="00DF2601">
            <w:pPr>
              <w:spacing w:before="40" w:after="40"/>
              <w:rPr>
                <w:rFonts w:ascii="Calibri" w:hAnsi="Calibri"/>
                <w:b/>
                <w:bCs/>
                <w:szCs w:val="22"/>
              </w:rPr>
            </w:pPr>
            <w:r w:rsidRPr="00D13D4E">
              <w:rPr>
                <w:rFonts w:ascii="Calibri" w:hAnsi="Calibri"/>
                <w:b/>
                <w:bCs/>
                <w:szCs w:val="22"/>
              </w:rPr>
              <w:t>Education: UNESCO/UNICEF/UNWOMEN</w:t>
            </w:r>
          </w:p>
        </w:tc>
        <w:tc>
          <w:tcPr>
            <w:tcW w:w="990" w:type="dxa"/>
            <w:vMerge w:val="restart"/>
          </w:tcPr>
          <w:p w:rsidR="00732B61" w:rsidRPr="00D13D4E" w:rsidRDefault="00732B61" w:rsidP="00FC767A">
            <w:pPr>
              <w:spacing w:before="40" w:after="40"/>
              <w:jc w:val="center"/>
              <w:rPr>
                <w:rFonts w:ascii="Calibri" w:hAnsi="Calibri"/>
                <w:b/>
                <w:szCs w:val="22"/>
              </w:rPr>
            </w:pPr>
          </w:p>
          <w:p w:rsidR="007D0B93" w:rsidRPr="00D13D4E" w:rsidRDefault="00017266" w:rsidP="00FC767A">
            <w:pPr>
              <w:spacing w:before="40" w:after="40"/>
              <w:jc w:val="center"/>
              <w:rPr>
                <w:rFonts w:ascii="Calibri" w:hAnsi="Calibri"/>
                <w:b/>
                <w:szCs w:val="22"/>
              </w:rPr>
            </w:pPr>
            <w:r w:rsidRPr="00D13D4E">
              <w:rPr>
                <w:rFonts w:ascii="Calibri" w:hAnsi="Calibri"/>
                <w:b/>
                <w:szCs w:val="22"/>
              </w:rPr>
              <w:t>38%</w:t>
            </w:r>
          </w:p>
        </w:tc>
      </w:tr>
      <w:tr w:rsidR="00DD16E0" w:rsidRPr="00D13D4E" w:rsidTr="00D97DAB">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val="restart"/>
            <w:tcBorders>
              <w:top w:val="nil"/>
            </w:tcBorders>
          </w:tcPr>
          <w:p w:rsidR="00D77DC4" w:rsidRPr="00D13D4E" w:rsidRDefault="00D77DC4" w:rsidP="00D17B38">
            <w:pPr>
              <w:pStyle w:val="ListParagraph"/>
              <w:numPr>
                <w:ilvl w:val="0"/>
                <w:numId w:val="5"/>
              </w:numPr>
              <w:spacing w:after="120" w:line="240" w:lineRule="auto"/>
              <w:ind w:left="432" w:hanging="274"/>
              <w:rPr>
                <w:bCs/>
              </w:rPr>
            </w:pPr>
            <w:r w:rsidRPr="00D13D4E">
              <w:rPr>
                <w:bCs/>
              </w:rPr>
              <w:t xml:space="preserve">A three-day training workshop on the development of job description was conducted in Baghdad targeting 17 officials from MoHESR.   </w:t>
            </w:r>
          </w:p>
          <w:p w:rsidR="005F4B6C" w:rsidRPr="00D13D4E" w:rsidRDefault="00D77DC4" w:rsidP="00D17B38">
            <w:pPr>
              <w:pStyle w:val="ListParagraph"/>
              <w:numPr>
                <w:ilvl w:val="0"/>
                <w:numId w:val="5"/>
              </w:numPr>
              <w:spacing w:after="120" w:line="240" w:lineRule="auto"/>
              <w:ind w:left="432" w:hanging="274"/>
              <w:rPr>
                <w:bCs/>
              </w:rPr>
            </w:pPr>
            <w:r w:rsidRPr="00D13D4E">
              <w:rPr>
                <w:bCs/>
              </w:rPr>
              <w:t xml:space="preserve">The roadmap for the roll-out of EMIS across Iraq was developed, </w:t>
            </w:r>
            <w:r w:rsidR="00E11891" w:rsidRPr="00D13D4E">
              <w:rPr>
                <w:bCs/>
              </w:rPr>
              <w:t xml:space="preserve">identifying </w:t>
            </w:r>
            <w:r w:rsidRPr="00D13D4E">
              <w:rPr>
                <w:bCs/>
              </w:rPr>
              <w:t xml:space="preserve">activities and deliverables </w:t>
            </w:r>
            <w:r w:rsidR="00E11891" w:rsidRPr="00D13D4E">
              <w:rPr>
                <w:bCs/>
              </w:rPr>
              <w:t xml:space="preserve">including </w:t>
            </w:r>
            <w:r w:rsidRPr="00D13D4E">
              <w:rPr>
                <w:bCs/>
              </w:rPr>
              <w:t>training, system administration, application administration, and staff and hardware requirements</w:t>
            </w:r>
          </w:p>
          <w:p w:rsidR="00792EAE" w:rsidRPr="00D13D4E" w:rsidRDefault="00792EAE" w:rsidP="00D17B38">
            <w:pPr>
              <w:pStyle w:val="ListParagraph"/>
              <w:numPr>
                <w:ilvl w:val="0"/>
                <w:numId w:val="5"/>
              </w:numPr>
              <w:spacing w:after="120" w:line="240" w:lineRule="auto"/>
              <w:ind w:left="432" w:hanging="274"/>
              <w:rPr>
                <w:bCs/>
              </w:rPr>
            </w:pPr>
            <w:r w:rsidRPr="00D13D4E">
              <w:rPr>
                <w:bCs/>
              </w:rPr>
              <w:t xml:space="preserve">A number of meetings were held with EMAC in Baghdad and Erbil to follow-up on the implementation of PAR-IPSM 2015 AWP and advise on actions needed to speed up implementation rate  </w:t>
            </w:r>
          </w:p>
          <w:p w:rsidR="009136EE" w:rsidRPr="00D13D4E" w:rsidRDefault="002E5574" w:rsidP="00D17B38">
            <w:pPr>
              <w:pStyle w:val="ListParagraph"/>
              <w:numPr>
                <w:ilvl w:val="0"/>
                <w:numId w:val="5"/>
              </w:numPr>
              <w:spacing w:after="120" w:line="240" w:lineRule="auto"/>
              <w:ind w:left="432" w:hanging="274"/>
              <w:rPr>
                <w:bCs/>
              </w:rPr>
            </w:pPr>
            <w:r w:rsidRPr="00D13D4E">
              <w:rPr>
                <w:bCs/>
              </w:rPr>
              <w:t xml:space="preserve">Three consultative meetings </w:t>
            </w:r>
            <w:r w:rsidR="00792EAE" w:rsidRPr="00D13D4E">
              <w:rPr>
                <w:bCs/>
              </w:rPr>
              <w:t>were held with the EMAC members in Baghdad to discuss the preparations for the Aug, 2015 School-Based Management conference, the parallel funding, and the re-scheduling of some training activities to take place right after the Holy Month of Ramadan</w:t>
            </w:r>
          </w:p>
          <w:p w:rsidR="00792EAE" w:rsidRPr="00D13D4E" w:rsidRDefault="00792EAE" w:rsidP="00D17B38">
            <w:pPr>
              <w:pStyle w:val="ListParagraph"/>
              <w:numPr>
                <w:ilvl w:val="0"/>
                <w:numId w:val="5"/>
              </w:numPr>
              <w:spacing w:after="120" w:line="240" w:lineRule="auto"/>
              <w:ind w:left="432" w:hanging="274"/>
              <w:rPr>
                <w:bCs/>
              </w:rPr>
            </w:pPr>
            <w:r w:rsidRPr="00D13D4E">
              <w:rPr>
                <w:bCs/>
              </w:rPr>
              <w:lastRenderedPageBreak/>
              <w:t>The “</w:t>
            </w:r>
            <w:r w:rsidRPr="00D13D4E">
              <w:rPr>
                <w:bCs/>
                <w:i/>
                <w:iCs/>
              </w:rPr>
              <w:t>Guidelines for the Implementation of School-Based Management</w:t>
            </w:r>
            <w:r w:rsidRPr="00D13D4E">
              <w:rPr>
                <w:bCs/>
              </w:rPr>
              <w:t xml:space="preserve">” were reviewed and currently being printed for distribution to </w:t>
            </w:r>
            <w:r w:rsidR="00FC0541" w:rsidRPr="00D13D4E">
              <w:rPr>
                <w:bCs/>
              </w:rPr>
              <w:t xml:space="preserve">pilot schools, SBM </w:t>
            </w:r>
            <w:r w:rsidR="008F2565" w:rsidRPr="00D13D4E">
              <w:rPr>
                <w:bCs/>
              </w:rPr>
              <w:t>Committees</w:t>
            </w:r>
            <w:r w:rsidR="00FC0541" w:rsidRPr="00D13D4E">
              <w:rPr>
                <w:bCs/>
              </w:rPr>
              <w:t>,</w:t>
            </w:r>
            <w:r w:rsidR="009136EE" w:rsidRPr="00D13D4E">
              <w:rPr>
                <w:bCs/>
              </w:rPr>
              <w:t xml:space="preserve"> Parent Teacher Association members and other </w:t>
            </w:r>
            <w:r w:rsidRPr="00D13D4E">
              <w:rPr>
                <w:bCs/>
              </w:rPr>
              <w:t>concerned bodies.</w:t>
            </w:r>
          </w:p>
          <w:p w:rsidR="001454F2" w:rsidRPr="00D13D4E" w:rsidRDefault="00792EAE" w:rsidP="00D17B38">
            <w:pPr>
              <w:pStyle w:val="ListParagraph"/>
              <w:numPr>
                <w:ilvl w:val="0"/>
                <w:numId w:val="5"/>
              </w:numPr>
              <w:spacing w:after="120" w:line="240" w:lineRule="auto"/>
              <w:ind w:left="432" w:hanging="274"/>
              <w:rPr>
                <w:bCs/>
              </w:rPr>
            </w:pPr>
            <w:r w:rsidRPr="00D13D4E">
              <w:rPr>
                <w:bCs/>
              </w:rPr>
              <w:t>Preparatory work was completed for the SBM Conference expected to take place during August, 2015</w:t>
            </w:r>
          </w:p>
        </w:tc>
        <w:tc>
          <w:tcPr>
            <w:tcW w:w="990" w:type="dxa"/>
            <w:vMerge/>
          </w:tcPr>
          <w:p w:rsidR="007D0B93" w:rsidRPr="00D13D4E" w:rsidRDefault="007D0B93" w:rsidP="00FC767A">
            <w:pPr>
              <w:spacing w:before="40" w:after="40"/>
              <w:jc w:val="center"/>
              <w:rPr>
                <w:rFonts w:ascii="Calibri" w:hAnsi="Calibri"/>
                <w:b/>
                <w:szCs w:val="22"/>
              </w:rPr>
            </w:pPr>
          </w:p>
        </w:tc>
      </w:tr>
      <w:tr w:rsidR="00DD16E0" w:rsidRPr="00D13D4E" w:rsidTr="00D97DAB">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tcPr>
          <w:p w:rsidR="007D0B93" w:rsidRPr="00D13D4E" w:rsidRDefault="007D0B93" w:rsidP="0069218F">
            <w:pPr>
              <w:numPr>
                <w:ilvl w:val="0"/>
                <w:numId w:val="3"/>
              </w:numPr>
              <w:spacing w:before="40" w:after="40"/>
              <w:rPr>
                <w:rFonts w:ascii="Calibri" w:hAnsi="Calibri"/>
                <w:szCs w:val="22"/>
              </w:rPr>
            </w:pPr>
          </w:p>
        </w:tc>
        <w:tc>
          <w:tcPr>
            <w:tcW w:w="990" w:type="dxa"/>
            <w:vMerge/>
          </w:tcPr>
          <w:p w:rsidR="007D0B93" w:rsidRPr="00D13D4E" w:rsidRDefault="007D0B93" w:rsidP="00FC767A">
            <w:pPr>
              <w:spacing w:before="40" w:after="40"/>
              <w:jc w:val="center"/>
              <w:rPr>
                <w:rFonts w:ascii="Calibri" w:hAnsi="Calibri"/>
                <w:b/>
                <w:szCs w:val="22"/>
              </w:rPr>
            </w:pPr>
          </w:p>
        </w:tc>
      </w:tr>
      <w:tr w:rsidR="00DD16E0" w:rsidRPr="00D13D4E" w:rsidTr="00D97DAB">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tcPr>
          <w:p w:rsidR="007D0B93" w:rsidRPr="00D13D4E" w:rsidRDefault="007D0B93" w:rsidP="0069218F">
            <w:pPr>
              <w:numPr>
                <w:ilvl w:val="0"/>
                <w:numId w:val="3"/>
              </w:numPr>
              <w:spacing w:before="40" w:after="40"/>
              <w:rPr>
                <w:rFonts w:ascii="Calibri" w:hAnsi="Calibri"/>
                <w:szCs w:val="22"/>
              </w:rPr>
            </w:pPr>
          </w:p>
        </w:tc>
        <w:tc>
          <w:tcPr>
            <w:tcW w:w="990" w:type="dxa"/>
            <w:vMerge/>
          </w:tcPr>
          <w:p w:rsidR="007D0B93" w:rsidRPr="00D13D4E" w:rsidRDefault="007D0B93" w:rsidP="00FC767A">
            <w:pPr>
              <w:spacing w:before="40" w:after="40"/>
              <w:jc w:val="center"/>
              <w:rPr>
                <w:rFonts w:ascii="Calibri" w:hAnsi="Calibri"/>
                <w:b/>
                <w:szCs w:val="22"/>
              </w:rPr>
            </w:pPr>
          </w:p>
        </w:tc>
      </w:tr>
      <w:tr w:rsidR="00DD16E0" w:rsidRPr="00D13D4E" w:rsidTr="00D97DAB">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tcPr>
          <w:p w:rsidR="007D0B93" w:rsidRPr="00D13D4E" w:rsidRDefault="007D0B93" w:rsidP="0069218F">
            <w:pPr>
              <w:numPr>
                <w:ilvl w:val="0"/>
                <w:numId w:val="3"/>
              </w:numPr>
              <w:spacing w:before="40" w:after="40"/>
              <w:rPr>
                <w:rFonts w:ascii="Calibri" w:hAnsi="Calibri"/>
                <w:szCs w:val="22"/>
              </w:rPr>
            </w:pPr>
          </w:p>
        </w:tc>
        <w:tc>
          <w:tcPr>
            <w:tcW w:w="990" w:type="dxa"/>
            <w:vMerge/>
          </w:tcPr>
          <w:p w:rsidR="007D0B93" w:rsidRPr="00D13D4E" w:rsidRDefault="007D0B93" w:rsidP="00FC767A">
            <w:pPr>
              <w:spacing w:before="40" w:after="40"/>
              <w:jc w:val="center"/>
              <w:rPr>
                <w:rFonts w:ascii="Calibri" w:hAnsi="Calibri"/>
                <w:b/>
                <w:szCs w:val="22"/>
              </w:rPr>
            </w:pPr>
          </w:p>
        </w:tc>
      </w:tr>
      <w:tr w:rsidR="00DD16E0" w:rsidRPr="00D13D4E" w:rsidTr="00D97DAB">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tcPr>
          <w:p w:rsidR="007D0B93" w:rsidRPr="00D13D4E" w:rsidRDefault="007D0B93" w:rsidP="0069218F">
            <w:pPr>
              <w:numPr>
                <w:ilvl w:val="0"/>
                <w:numId w:val="3"/>
              </w:numPr>
              <w:spacing w:before="40" w:after="40"/>
              <w:rPr>
                <w:rFonts w:ascii="Calibri" w:hAnsi="Calibri"/>
                <w:szCs w:val="22"/>
              </w:rPr>
            </w:pPr>
          </w:p>
        </w:tc>
        <w:tc>
          <w:tcPr>
            <w:tcW w:w="990" w:type="dxa"/>
            <w:vMerge/>
          </w:tcPr>
          <w:p w:rsidR="007D0B93" w:rsidRPr="00D13D4E" w:rsidRDefault="007D0B93" w:rsidP="00FC767A">
            <w:pPr>
              <w:spacing w:before="40" w:after="40"/>
              <w:jc w:val="center"/>
              <w:rPr>
                <w:rFonts w:ascii="Calibri" w:hAnsi="Calibri"/>
                <w:b/>
                <w:szCs w:val="22"/>
              </w:rPr>
            </w:pPr>
          </w:p>
        </w:tc>
      </w:tr>
      <w:tr w:rsidR="00DD16E0" w:rsidRPr="00D13D4E" w:rsidTr="00D97DAB">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tcPr>
          <w:p w:rsidR="007D0B93" w:rsidRPr="00D13D4E" w:rsidRDefault="007D0B93" w:rsidP="00DF2601">
            <w:pPr>
              <w:spacing w:before="40" w:after="40"/>
              <w:rPr>
                <w:rFonts w:ascii="Calibri" w:hAnsi="Calibri"/>
                <w:szCs w:val="22"/>
              </w:rPr>
            </w:pPr>
          </w:p>
        </w:tc>
        <w:tc>
          <w:tcPr>
            <w:tcW w:w="990" w:type="dxa"/>
            <w:vMerge/>
          </w:tcPr>
          <w:p w:rsidR="007D0B93" w:rsidRPr="00D13D4E" w:rsidRDefault="007D0B93" w:rsidP="00FC767A">
            <w:pPr>
              <w:spacing w:before="40" w:after="40"/>
              <w:jc w:val="center"/>
              <w:rPr>
                <w:rFonts w:ascii="Calibri" w:hAnsi="Calibri"/>
                <w:b/>
                <w:szCs w:val="22"/>
              </w:rPr>
            </w:pPr>
          </w:p>
        </w:tc>
      </w:tr>
      <w:tr w:rsidR="00DD16E0" w:rsidRPr="00D13D4E" w:rsidTr="000C5D7C">
        <w:trPr>
          <w:trHeight w:val="260"/>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tcBorders>
              <w:bottom w:val="single" w:sz="4" w:space="0" w:color="auto"/>
            </w:tcBorders>
          </w:tcPr>
          <w:p w:rsidR="007D0B93" w:rsidRPr="00D13D4E" w:rsidRDefault="007D0B93" w:rsidP="00DF2601">
            <w:pPr>
              <w:spacing w:before="40" w:after="40"/>
              <w:rPr>
                <w:rFonts w:ascii="Calibri" w:hAnsi="Calibri"/>
                <w:b/>
                <w:bCs/>
                <w:szCs w:val="22"/>
              </w:rPr>
            </w:pPr>
            <w:r w:rsidRPr="00D13D4E">
              <w:rPr>
                <w:rFonts w:ascii="Calibri" w:hAnsi="Calibri"/>
                <w:b/>
                <w:bCs/>
                <w:szCs w:val="22"/>
              </w:rPr>
              <w:t>Health: WHO/UNFPA/UNICEF/UNWOMEN</w:t>
            </w:r>
          </w:p>
          <w:p w:rsidR="00672760" w:rsidRPr="00D13D4E" w:rsidRDefault="00672760" w:rsidP="00D17B38">
            <w:pPr>
              <w:pStyle w:val="ListParagraph"/>
              <w:numPr>
                <w:ilvl w:val="0"/>
                <w:numId w:val="5"/>
              </w:numPr>
              <w:spacing w:after="120" w:line="240" w:lineRule="auto"/>
              <w:ind w:left="432" w:hanging="274"/>
              <w:rPr>
                <w:bCs/>
              </w:rPr>
            </w:pPr>
            <w:r w:rsidRPr="00D13D4E">
              <w:rPr>
                <w:bCs/>
              </w:rPr>
              <w:t>A specialized company “Larsa” is being contracted to establish “</w:t>
            </w:r>
            <w:r w:rsidRPr="00D13D4E">
              <w:rPr>
                <w:bCs/>
                <w:i/>
                <w:iCs/>
              </w:rPr>
              <w:t>Heath Management Information System</w:t>
            </w:r>
            <w:r w:rsidRPr="00D13D4E">
              <w:rPr>
                <w:bCs/>
              </w:rPr>
              <w:t>” (HMIS) as part of the accreditation and e-governance activities.</w:t>
            </w:r>
          </w:p>
          <w:p w:rsidR="00672760" w:rsidRPr="00D13D4E" w:rsidRDefault="00672760" w:rsidP="00D17B38">
            <w:pPr>
              <w:pStyle w:val="ListParagraph"/>
              <w:numPr>
                <w:ilvl w:val="0"/>
                <w:numId w:val="5"/>
              </w:numPr>
              <w:spacing w:after="120" w:line="240" w:lineRule="auto"/>
              <w:ind w:left="432" w:hanging="274"/>
              <w:rPr>
                <w:bCs/>
              </w:rPr>
            </w:pPr>
            <w:r w:rsidRPr="00D13D4E">
              <w:rPr>
                <w:bCs/>
              </w:rPr>
              <w:t>Preparations were finalized to hold a training workshop on “</w:t>
            </w:r>
            <w:r w:rsidRPr="00D13D4E">
              <w:rPr>
                <w:bCs/>
                <w:i/>
                <w:iCs/>
              </w:rPr>
              <w:t>The International Classification of Disease tenth revision</w:t>
            </w:r>
            <w:r w:rsidRPr="00D13D4E">
              <w:rPr>
                <w:bCs/>
              </w:rPr>
              <w:t xml:space="preserve">” (ICD-10). </w:t>
            </w:r>
          </w:p>
          <w:p w:rsidR="00672760" w:rsidRPr="00D13D4E" w:rsidRDefault="00672760" w:rsidP="00D17B38">
            <w:pPr>
              <w:pStyle w:val="ListParagraph"/>
              <w:numPr>
                <w:ilvl w:val="0"/>
                <w:numId w:val="5"/>
              </w:numPr>
              <w:spacing w:after="120" w:line="240" w:lineRule="auto"/>
              <w:ind w:left="432" w:hanging="274"/>
              <w:rPr>
                <w:bCs/>
              </w:rPr>
            </w:pPr>
            <w:r w:rsidRPr="00D13D4E">
              <w:rPr>
                <w:bCs/>
              </w:rPr>
              <w:t>The “National Heath Accounts” (NHA) document for MoH is under printing as part of Health Reform activities</w:t>
            </w:r>
            <w:r w:rsidR="00760D1E" w:rsidRPr="00D13D4E">
              <w:rPr>
                <w:bCs/>
              </w:rPr>
              <w:t xml:space="preserve"> and Medium Term Budget Framework in MOH</w:t>
            </w:r>
            <w:r w:rsidRPr="00D13D4E">
              <w:rPr>
                <w:bCs/>
              </w:rPr>
              <w:t>.</w:t>
            </w:r>
          </w:p>
          <w:p w:rsidR="00295ADD" w:rsidRPr="00D13D4E" w:rsidRDefault="00672760" w:rsidP="00D17B38">
            <w:pPr>
              <w:pStyle w:val="ListParagraph"/>
              <w:numPr>
                <w:ilvl w:val="0"/>
                <w:numId w:val="5"/>
              </w:numPr>
              <w:spacing w:after="120" w:line="240" w:lineRule="auto"/>
              <w:ind w:left="432" w:hanging="274"/>
              <w:rPr>
                <w:bCs/>
              </w:rPr>
            </w:pPr>
            <w:r w:rsidRPr="00D13D4E">
              <w:rPr>
                <w:bCs/>
              </w:rPr>
              <w:t>The final draft of “</w:t>
            </w:r>
            <w:r w:rsidRPr="00D13D4E">
              <w:rPr>
                <w:bCs/>
                <w:i/>
                <w:iCs/>
              </w:rPr>
              <w:t>National Health Policy</w:t>
            </w:r>
            <w:r w:rsidRPr="00D13D4E">
              <w:rPr>
                <w:bCs/>
              </w:rPr>
              <w:t>” was developed and currently subject to MoH approval.</w:t>
            </w:r>
          </w:p>
          <w:p w:rsidR="00672760" w:rsidRPr="00D13D4E" w:rsidRDefault="00295ADD" w:rsidP="00D17B38">
            <w:pPr>
              <w:pStyle w:val="ListParagraph"/>
              <w:numPr>
                <w:ilvl w:val="0"/>
                <w:numId w:val="5"/>
              </w:numPr>
              <w:spacing w:after="120" w:line="240" w:lineRule="auto"/>
              <w:ind w:left="432" w:hanging="274"/>
              <w:rPr>
                <w:bCs/>
              </w:rPr>
            </w:pPr>
            <w:r w:rsidRPr="00D13D4E">
              <w:rPr>
                <w:rFonts w:cs="Calibri"/>
                <w:lang w:val="en-US"/>
              </w:rPr>
              <w:t xml:space="preserve">As part of “National Health Policy Strengthening” </w:t>
            </w:r>
            <w:r w:rsidR="00672760" w:rsidRPr="00D13D4E">
              <w:rPr>
                <w:bCs/>
              </w:rPr>
              <w:t>Australian National University (ANU) is being contracted to conduct several workshops to build the capacity of MoH on “</w:t>
            </w:r>
            <w:r w:rsidR="00672760" w:rsidRPr="00D13D4E">
              <w:rPr>
                <w:bCs/>
                <w:i/>
                <w:iCs/>
              </w:rPr>
              <w:t>Decentralization</w:t>
            </w:r>
            <w:r w:rsidR="00672760" w:rsidRPr="00D13D4E">
              <w:rPr>
                <w:bCs/>
              </w:rPr>
              <w:t>”.</w:t>
            </w:r>
          </w:p>
          <w:p w:rsidR="00672760" w:rsidRPr="00D13D4E" w:rsidRDefault="00672760" w:rsidP="00D17B38">
            <w:pPr>
              <w:pStyle w:val="ListParagraph"/>
              <w:numPr>
                <w:ilvl w:val="0"/>
                <w:numId w:val="5"/>
              </w:numPr>
              <w:spacing w:after="120" w:line="240" w:lineRule="auto"/>
              <w:ind w:left="432" w:hanging="274"/>
              <w:rPr>
                <w:bCs/>
              </w:rPr>
            </w:pPr>
            <w:r w:rsidRPr="00D13D4E">
              <w:rPr>
                <w:bCs/>
              </w:rPr>
              <w:t>A discussion was initiated with Harvard University team on the provision of technical support on the decentralization and improving the performance of health services. </w:t>
            </w:r>
          </w:p>
        </w:tc>
        <w:tc>
          <w:tcPr>
            <w:tcW w:w="990" w:type="dxa"/>
            <w:tcBorders>
              <w:bottom w:val="single" w:sz="4" w:space="0" w:color="auto"/>
            </w:tcBorders>
          </w:tcPr>
          <w:p w:rsidR="007D0B93" w:rsidRPr="00D13D4E" w:rsidRDefault="007D0B93" w:rsidP="00FC767A">
            <w:pPr>
              <w:spacing w:before="40" w:after="40"/>
              <w:jc w:val="center"/>
              <w:rPr>
                <w:rFonts w:ascii="Calibri" w:hAnsi="Calibri"/>
                <w:b/>
                <w:szCs w:val="22"/>
              </w:rPr>
            </w:pPr>
          </w:p>
          <w:p w:rsidR="00C04D53" w:rsidRPr="00D13D4E" w:rsidRDefault="00C04D53" w:rsidP="00FC767A">
            <w:pPr>
              <w:spacing w:before="40" w:after="40"/>
              <w:jc w:val="center"/>
              <w:rPr>
                <w:rFonts w:ascii="Calibri" w:hAnsi="Calibri"/>
                <w:b/>
                <w:szCs w:val="22"/>
              </w:rPr>
            </w:pPr>
            <w:r w:rsidRPr="00D13D4E">
              <w:rPr>
                <w:rFonts w:ascii="Calibri" w:hAnsi="Calibri"/>
                <w:b/>
                <w:szCs w:val="22"/>
              </w:rPr>
              <w:t>22%</w:t>
            </w:r>
          </w:p>
        </w:tc>
      </w:tr>
      <w:tr w:rsidR="00727B82" w:rsidRPr="00D13D4E" w:rsidTr="00861EF2">
        <w:trPr>
          <w:trHeight w:val="349"/>
        </w:trPr>
        <w:tc>
          <w:tcPr>
            <w:tcW w:w="1980" w:type="dxa"/>
            <w:vMerge/>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val="restart"/>
          </w:tcPr>
          <w:p w:rsidR="00A775D2" w:rsidRPr="00D13D4E" w:rsidRDefault="007D0B93" w:rsidP="00094E28">
            <w:pPr>
              <w:widowControl/>
              <w:spacing w:before="40" w:after="40"/>
              <w:rPr>
                <w:rFonts w:ascii="Calibri" w:hAnsi="Calibri"/>
                <w:b/>
                <w:bCs/>
                <w:szCs w:val="22"/>
              </w:rPr>
            </w:pPr>
            <w:r w:rsidRPr="00D13D4E">
              <w:rPr>
                <w:rFonts w:ascii="Calibri" w:hAnsi="Calibri"/>
                <w:b/>
                <w:bCs/>
                <w:szCs w:val="22"/>
              </w:rPr>
              <w:t>WATSAN: UNICEF/UN-Habitat/UNFPA/UNWOMEN</w:t>
            </w:r>
          </w:p>
          <w:p w:rsidR="00792EAE" w:rsidRPr="00D13D4E" w:rsidRDefault="00792EAE" w:rsidP="00D17B38">
            <w:pPr>
              <w:pStyle w:val="ListParagraph"/>
              <w:numPr>
                <w:ilvl w:val="0"/>
                <w:numId w:val="5"/>
              </w:numPr>
              <w:spacing w:after="120" w:line="240" w:lineRule="auto"/>
              <w:ind w:left="432" w:hanging="274"/>
              <w:rPr>
                <w:bCs/>
              </w:rPr>
            </w:pPr>
            <w:r w:rsidRPr="00D13D4E">
              <w:rPr>
                <w:bCs/>
              </w:rPr>
              <w:t>A one-day workshop was held in Baghdad by UNICEF-WASH team to present the final draft of “</w:t>
            </w:r>
            <w:r w:rsidRPr="00D13D4E">
              <w:rPr>
                <w:bCs/>
                <w:i/>
                <w:iCs/>
              </w:rPr>
              <w:t>Water and Sanitation Law</w:t>
            </w:r>
            <w:r w:rsidRPr="00D13D4E">
              <w:rPr>
                <w:bCs/>
              </w:rPr>
              <w:t xml:space="preserve">”. </w:t>
            </w:r>
          </w:p>
          <w:p w:rsidR="00792EAE" w:rsidRPr="00D13D4E" w:rsidRDefault="00792EAE" w:rsidP="00D17B38">
            <w:pPr>
              <w:pStyle w:val="ListParagraph"/>
              <w:numPr>
                <w:ilvl w:val="0"/>
                <w:numId w:val="5"/>
              </w:numPr>
              <w:spacing w:after="120" w:line="240" w:lineRule="auto"/>
              <w:ind w:left="432" w:hanging="274"/>
              <w:rPr>
                <w:bCs/>
              </w:rPr>
            </w:pPr>
            <w:r w:rsidRPr="00D13D4E">
              <w:rPr>
                <w:bCs/>
              </w:rPr>
              <w:t xml:space="preserve">The final draft of “Water and Sanitation Law for Iraq” was finalized and being translated into English languages. </w:t>
            </w:r>
          </w:p>
          <w:p w:rsidR="00792EAE" w:rsidRPr="00D13D4E" w:rsidRDefault="00792EAE" w:rsidP="00D17B38">
            <w:pPr>
              <w:pStyle w:val="ListParagraph"/>
              <w:numPr>
                <w:ilvl w:val="0"/>
                <w:numId w:val="5"/>
              </w:numPr>
              <w:spacing w:after="120" w:line="240" w:lineRule="auto"/>
              <w:ind w:left="432" w:hanging="274"/>
              <w:rPr>
                <w:bCs/>
              </w:rPr>
            </w:pPr>
            <w:r w:rsidRPr="00D13D4E">
              <w:rPr>
                <w:bCs/>
              </w:rPr>
              <w:t>A meeting was held with CMWG to discuss the final draft of “</w:t>
            </w:r>
            <w:r w:rsidRPr="00D13D4E">
              <w:rPr>
                <w:bCs/>
                <w:i/>
                <w:iCs/>
              </w:rPr>
              <w:t>Development of a Strategy Report on Water Quality Management for Iraq</w:t>
            </w:r>
            <w:r w:rsidRPr="00D13D4E">
              <w:rPr>
                <w:bCs/>
              </w:rPr>
              <w:t>”, and an agreement was reached in this regards on organizing a one-day workshop in Baghdad to present the final report both in English and Arabic languages.</w:t>
            </w:r>
          </w:p>
          <w:p w:rsidR="00792EAE" w:rsidRPr="00D13D4E" w:rsidRDefault="00792EAE" w:rsidP="00D17B38">
            <w:pPr>
              <w:pStyle w:val="ListParagraph"/>
              <w:numPr>
                <w:ilvl w:val="0"/>
                <w:numId w:val="5"/>
              </w:numPr>
              <w:spacing w:after="120" w:line="240" w:lineRule="auto"/>
              <w:ind w:left="432" w:hanging="274"/>
              <w:rPr>
                <w:bCs/>
              </w:rPr>
            </w:pPr>
            <w:r w:rsidRPr="00D13D4E">
              <w:rPr>
                <w:bCs/>
              </w:rPr>
              <w:t>Two capacity building workshops on “</w:t>
            </w:r>
            <w:r w:rsidRPr="00D13D4E">
              <w:rPr>
                <w:bCs/>
                <w:i/>
                <w:iCs/>
              </w:rPr>
              <w:t>Knowledge Management</w:t>
            </w:r>
            <w:r w:rsidRPr="00D13D4E">
              <w:rPr>
                <w:bCs/>
              </w:rPr>
              <w:t>” (KM) were conducted by UNICEF-Iraq in collaboration with Joint Analysis Unit (JAU) in Baghdad, targeting MMPW staff in different departments, and Mayoralty of Baghdad (MOB)</w:t>
            </w:r>
          </w:p>
          <w:p w:rsidR="00792EAE" w:rsidRPr="00D13D4E" w:rsidRDefault="00792EAE" w:rsidP="00D17B38">
            <w:pPr>
              <w:pStyle w:val="ListParagraph"/>
              <w:numPr>
                <w:ilvl w:val="0"/>
                <w:numId w:val="5"/>
              </w:numPr>
              <w:spacing w:after="120" w:line="240" w:lineRule="auto"/>
              <w:ind w:left="432" w:hanging="274"/>
              <w:rPr>
                <w:bCs/>
              </w:rPr>
            </w:pPr>
            <w:r w:rsidRPr="00D13D4E">
              <w:rPr>
                <w:bCs/>
              </w:rPr>
              <w:t>RFP on “</w:t>
            </w:r>
            <w:r w:rsidRPr="00D13D4E">
              <w:rPr>
                <w:bCs/>
                <w:i/>
                <w:iCs/>
              </w:rPr>
              <w:t>Development of an Environmental Management Drought Plan Guidelines for Iraq</w:t>
            </w:r>
            <w:r w:rsidRPr="00D13D4E">
              <w:rPr>
                <w:bCs/>
              </w:rPr>
              <w:t xml:space="preserve">” was finalized, and invitations were sent to potentially qualified firms. </w:t>
            </w:r>
          </w:p>
          <w:p w:rsidR="00792EAE" w:rsidRPr="00D13D4E" w:rsidRDefault="00792EAE" w:rsidP="00D17B38">
            <w:pPr>
              <w:pStyle w:val="ListParagraph"/>
              <w:numPr>
                <w:ilvl w:val="0"/>
                <w:numId w:val="5"/>
              </w:numPr>
              <w:spacing w:after="120" w:line="240" w:lineRule="auto"/>
              <w:ind w:left="432" w:hanging="274"/>
              <w:rPr>
                <w:bCs/>
              </w:rPr>
            </w:pPr>
            <w:r w:rsidRPr="00D13D4E">
              <w:rPr>
                <w:bCs/>
              </w:rPr>
              <w:t>Technical and financial proposals were received from bidders on “</w:t>
            </w:r>
            <w:r w:rsidRPr="00D13D4E">
              <w:rPr>
                <w:bCs/>
                <w:i/>
                <w:iCs/>
              </w:rPr>
              <w:t>Consultancy Services for the Development of an Environmental Management Drought Plan Guidelines for Iraq</w:t>
            </w:r>
            <w:r w:rsidRPr="00D13D4E">
              <w:rPr>
                <w:bCs/>
              </w:rPr>
              <w:t>”</w:t>
            </w:r>
          </w:p>
          <w:p w:rsidR="00792EAE" w:rsidRPr="00D13D4E" w:rsidRDefault="00792EAE" w:rsidP="00D17B38">
            <w:pPr>
              <w:pStyle w:val="ListParagraph"/>
              <w:numPr>
                <w:ilvl w:val="0"/>
                <w:numId w:val="5"/>
              </w:numPr>
              <w:spacing w:after="120" w:line="240" w:lineRule="auto"/>
              <w:ind w:left="432" w:hanging="274"/>
              <w:rPr>
                <w:bCs/>
              </w:rPr>
            </w:pPr>
            <w:r w:rsidRPr="00D13D4E">
              <w:rPr>
                <w:bCs/>
              </w:rPr>
              <w:t>A two-day workshop was organized at MMPW and MoB by the KM consultant on “</w:t>
            </w:r>
            <w:r w:rsidRPr="00D13D4E">
              <w:rPr>
                <w:bCs/>
                <w:i/>
                <w:iCs/>
              </w:rPr>
              <w:t>Intranet System for Knowledge Management</w:t>
            </w:r>
            <w:r w:rsidRPr="00D13D4E">
              <w:rPr>
                <w:bCs/>
              </w:rPr>
              <w:t>” targeting participants from both institutions.</w:t>
            </w:r>
          </w:p>
          <w:p w:rsidR="004A1067" w:rsidRPr="00D13D4E" w:rsidRDefault="004A1067" w:rsidP="00D17B38">
            <w:pPr>
              <w:pStyle w:val="ListParagraph"/>
              <w:numPr>
                <w:ilvl w:val="0"/>
                <w:numId w:val="5"/>
              </w:numPr>
              <w:spacing w:after="120" w:line="240" w:lineRule="auto"/>
              <w:ind w:left="432" w:hanging="274"/>
              <w:rPr>
                <w:bCs/>
              </w:rPr>
            </w:pPr>
            <w:r w:rsidRPr="00D13D4E">
              <w:rPr>
                <w:bCs/>
              </w:rPr>
              <w:lastRenderedPageBreak/>
              <w:t xml:space="preserve">A kick-off meeting was held with MMPW to discuss implementation of </w:t>
            </w:r>
            <w:r w:rsidR="00A81FBC" w:rsidRPr="00D13D4E">
              <w:rPr>
                <w:bCs/>
              </w:rPr>
              <w:t>“</w:t>
            </w:r>
            <w:r w:rsidR="00A81FBC" w:rsidRPr="00D13D4E">
              <w:rPr>
                <w:bCs/>
                <w:i/>
                <w:iCs/>
              </w:rPr>
              <w:t>L</w:t>
            </w:r>
            <w:r w:rsidRPr="00D13D4E">
              <w:rPr>
                <w:bCs/>
                <w:i/>
                <w:iCs/>
              </w:rPr>
              <w:t xml:space="preserve">and </w:t>
            </w:r>
            <w:r w:rsidR="00A81FBC" w:rsidRPr="00D13D4E">
              <w:rPr>
                <w:bCs/>
                <w:i/>
                <w:iCs/>
              </w:rPr>
              <w:t>I</w:t>
            </w:r>
            <w:r w:rsidRPr="00D13D4E">
              <w:rPr>
                <w:bCs/>
                <w:i/>
                <w:iCs/>
              </w:rPr>
              <w:t xml:space="preserve">nventory </w:t>
            </w:r>
            <w:r w:rsidR="00A81FBC" w:rsidRPr="00D13D4E">
              <w:rPr>
                <w:bCs/>
                <w:i/>
                <w:iCs/>
              </w:rPr>
              <w:t>S</w:t>
            </w:r>
            <w:r w:rsidRPr="00D13D4E">
              <w:rPr>
                <w:bCs/>
                <w:i/>
                <w:iCs/>
              </w:rPr>
              <w:t>ystem</w:t>
            </w:r>
            <w:r w:rsidR="00A81FBC" w:rsidRPr="00D13D4E">
              <w:rPr>
                <w:bCs/>
              </w:rPr>
              <w:t>”</w:t>
            </w:r>
            <w:r w:rsidRPr="00D13D4E">
              <w:rPr>
                <w:bCs/>
              </w:rPr>
              <w:t>.</w:t>
            </w:r>
          </w:p>
          <w:p w:rsidR="004A1067" w:rsidRPr="00D13D4E" w:rsidRDefault="004A1067" w:rsidP="00D17B38">
            <w:pPr>
              <w:pStyle w:val="ListParagraph"/>
              <w:numPr>
                <w:ilvl w:val="0"/>
                <w:numId w:val="5"/>
              </w:numPr>
              <w:spacing w:after="120" w:line="240" w:lineRule="auto"/>
              <w:ind w:left="432" w:hanging="274"/>
              <w:rPr>
                <w:bCs/>
              </w:rPr>
            </w:pPr>
            <w:r w:rsidRPr="00D13D4E">
              <w:rPr>
                <w:bCs/>
              </w:rPr>
              <w:t>A demo on “</w:t>
            </w:r>
            <w:r w:rsidRPr="00D13D4E">
              <w:rPr>
                <w:bCs/>
                <w:i/>
                <w:iCs/>
              </w:rPr>
              <w:t>Land Inventory System</w:t>
            </w:r>
            <w:r w:rsidRPr="00D13D4E">
              <w:rPr>
                <w:bCs/>
              </w:rPr>
              <w:t>” was developed by the consultant and presented to MMPW for discussion.</w:t>
            </w:r>
          </w:p>
          <w:p w:rsidR="00B77C33" w:rsidRPr="00D13D4E" w:rsidRDefault="00B77C33" w:rsidP="00D17B38">
            <w:pPr>
              <w:pStyle w:val="ListParagraph"/>
              <w:numPr>
                <w:ilvl w:val="0"/>
                <w:numId w:val="5"/>
              </w:numPr>
              <w:spacing w:after="120" w:line="240" w:lineRule="auto"/>
              <w:ind w:left="432" w:hanging="274"/>
              <w:rPr>
                <w:bCs/>
              </w:rPr>
            </w:pPr>
            <w:r w:rsidRPr="00D13D4E">
              <w:rPr>
                <w:bCs/>
              </w:rPr>
              <w:t>A legal expert is being contracted to work on the “</w:t>
            </w:r>
            <w:r w:rsidRPr="00D13D4E">
              <w:rPr>
                <w:bCs/>
                <w:i/>
                <w:iCs/>
              </w:rPr>
              <w:t>Development of Government Contracts</w:t>
            </w:r>
            <w:r w:rsidRPr="00D13D4E">
              <w:rPr>
                <w:bCs/>
              </w:rPr>
              <w:t>”.</w:t>
            </w:r>
          </w:p>
          <w:p w:rsidR="004A1067" w:rsidRPr="00D13D4E" w:rsidRDefault="004A1067" w:rsidP="00D17B38">
            <w:pPr>
              <w:pStyle w:val="ListParagraph"/>
              <w:numPr>
                <w:ilvl w:val="0"/>
                <w:numId w:val="5"/>
              </w:numPr>
              <w:spacing w:after="120" w:line="240" w:lineRule="auto"/>
              <w:ind w:left="432" w:hanging="274"/>
              <w:rPr>
                <w:bCs/>
              </w:rPr>
            </w:pPr>
            <w:r w:rsidRPr="00D13D4E">
              <w:rPr>
                <w:bCs/>
              </w:rPr>
              <w:t>A workshop was conducted on “</w:t>
            </w:r>
            <w:r w:rsidRPr="00D13D4E">
              <w:rPr>
                <w:bCs/>
                <w:i/>
                <w:iCs/>
              </w:rPr>
              <w:t>Strategic Business Planning</w:t>
            </w:r>
            <w:r w:rsidRPr="00D13D4E">
              <w:rPr>
                <w:bCs/>
              </w:rPr>
              <w:t>”, targeting the general manager and  departmental heads of NWD</w:t>
            </w:r>
          </w:p>
          <w:p w:rsidR="00792EAE" w:rsidRPr="00D13D4E" w:rsidRDefault="004A1067" w:rsidP="00D17B38">
            <w:pPr>
              <w:pStyle w:val="ListParagraph"/>
              <w:numPr>
                <w:ilvl w:val="0"/>
                <w:numId w:val="5"/>
              </w:numPr>
              <w:spacing w:after="120" w:line="240" w:lineRule="auto"/>
              <w:ind w:left="432" w:hanging="274"/>
              <w:rPr>
                <w:bCs/>
              </w:rPr>
            </w:pPr>
            <w:r w:rsidRPr="00D13D4E">
              <w:rPr>
                <w:bCs/>
              </w:rPr>
              <w:t>A workshop was conducted on “</w:t>
            </w:r>
            <w:r w:rsidRPr="00D13D4E">
              <w:rPr>
                <w:bCs/>
                <w:i/>
                <w:iCs/>
              </w:rPr>
              <w:t>Unified Accounting System and Financial Statements</w:t>
            </w:r>
            <w:r w:rsidRPr="00D13D4E">
              <w:rPr>
                <w:bCs/>
              </w:rPr>
              <w:t>”, targeting MMPW accounts and audit sections and other departmental heads.</w:t>
            </w:r>
          </w:p>
        </w:tc>
        <w:tc>
          <w:tcPr>
            <w:tcW w:w="990" w:type="dxa"/>
            <w:vMerge w:val="restart"/>
          </w:tcPr>
          <w:p w:rsidR="009A1F98" w:rsidRPr="00D13D4E" w:rsidRDefault="009A1F98" w:rsidP="00473A78">
            <w:pPr>
              <w:spacing w:before="40" w:after="40"/>
              <w:jc w:val="center"/>
              <w:rPr>
                <w:rFonts w:ascii="Calibri" w:hAnsi="Calibri"/>
                <w:b/>
                <w:szCs w:val="22"/>
              </w:rPr>
            </w:pPr>
          </w:p>
          <w:p w:rsidR="00EF62EA" w:rsidRPr="00D13D4E" w:rsidRDefault="00EF62EA" w:rsidP="00473A78">
            <w:pPr>
              <w:spacing w:before="40" w:after="40"/>
              <w:jc w:val="center"/>
              <w:rPr>
                <w:rFonts w:ascii="Calibri" w:hAnsi="Calibri"/>
                <w:b/>
                <w:szCs w:val="22"/>
              </w:rPr>
            </w:pPr>
            <w:r w:rsidRPr="00D13D4E">
              <w:rPr>
                <w:rFonts w:ascii="Calibri" w:hAnsi="Calibri"/>
                <w:b/>
                <w:szCs w:val="22"/>
              </w:rPr>
              <w:t>35%</w:t>
            </w:r>
          </w:p>
        </w:tc>
      </w:tr>
      <w:tr w:rsidR="00DD16E0" w:rsidRPr="00D13D4E" w:rsidTr="00D97DAB">
        <w:trPr>
          <w:trHeight w:val="949"/>
        </w:trPr>
        <w:tc>
          <w:tcPr>
            <w:tcW w:w="1980" w:type="dxa"/>
            <w:vMerge/>
            <w:tcBorders>
              <w:bottom w:val="single" w:sz="4" w:space="0" w:color="auto"/>
            </w:tcBorders>
          </w:tcPr>
          <w:p w:rsidR="007D0B93" w:rsidRPr="00D13D4E" w:rsidRDefault="007D0B93" w:rsidP="00DF2601">
            <w:pPr>
              <w:widowControl/>
              <w:autoSpaceDE w:val="0"/>
              <w:autoSpaceDN w:val="0"/>
              <w:adjustRightInd w:val="0"/>
              <w:spacing w:before="40" w:after="40"/>
              <w:rPr>
                <w:rFonts w:ascii="Calibri" w:hAnsi="Calibri"/>
                <w:szCs w:val="22"/>
              </w:rPr>
            </w:pPr>
          </w:p>
        </w:tc>
        <w:tc>
          <w:tcPr>
            <w:tcW w:w="7128" w:type="dxa"/>
            <w:vMerge/>
            <w:tcBorders>
              <w:bottom w:val="single" w:sz="4" w:space="0" w:color="auto"/>
            </w:tcBorders>
          </w:tcPr>
          <w:p w:rsidR="007D0B93" w:rsidRPr="00D13D4E" w:rsidRDefault="007D0B93" w:rsidP="00651C94">
            <w:pPr>
              <w:spacing w:before="40" w:after="40"/>
              <w:rPr>
                <w:rFonts w:ascii="Calibri" w:hAnsi="Calibri"/>
                <w:szCs w:val="22"/>
                <w:lang w:val="en-US"/>
              </w:rPr>
            </w:pPr>
          </w:p>
        </w:tc>
        <w:tc>
          <w:tcPr>
            <w:tcW w:w="990" w:type="dxa"/>
            <w:vMerge/>
            <w:tcBorders>
              <w:bottom w:val="single" w:sz="4" w:space="0" w:color="auto"/>
            </w:tcBorders>
          </w:tcPr>
          <w:p w:rsidR="007D0B93" w:rsidRPr="00D13D4E" w:rsidRDefault="007D0B93" w:rsidP="00FC767A">
            <w:pPr>
              <w:spacing w:before="40" w:after="40"/>
              <w:jc w:val="center"/>
              <w:rPr>
                <w:rFonts w:ascii="Calibri" w:hAnsi="Calibri"/>
                <w:b/>
                <w:szCs w:val="22"/>
              </w:rPr>
            </w:pPr>
          </w:p>
        </w:tc>
      </w:tr>
      <w:tr w:rsidR="00DD16E0" w:rsidRPr="00D13D4E" w:rsidTr="00D97DAB">
        <w:trPr>
          <w:trHeight w:val="1194"/>
        </w:trPr>
        <w:tc>
          <w:tcPr>
            <w:tcW w:w="1980" w:type="dxa"/>
            <w:vMerge w:val="restart"/>
          </w:tcPr>
          <w:p w:rsidR="001946FF" w:rsidRPr="00D13D4E" w:rsidRDefault="001946FF" w:rsidP="00DF2601">
            <w:pPr>
              <w:spacing w:before="40" w:after="40"/>
              <w:rPr>
                <w:rFonts w:ascii="Calibri" w:hAnsi="Calibri"/>
                <w:szCs w:val="22"/>
              </w:rPr>
            </w:pPr>
            <w:r w:rsidRPr="00D13D4E">
              <w:rPr>
                <w:rFonts w:ascii="Calibri" w:hAnsi="Calibri"/>
                <w:b/>
                <w:bCs/>
                <w:szCs w:val="22"/>
              </w:rPr>
              <w:lastRenderedPageBreak/>
              <w:t>JP Output 4:</w:t>
            </w:r>
            <w:r w:rsidRPr="00D13D4E">
              <w:rPr>
                <w:rFonts w:ascii="Calibri" w:hAnsi="Calibri"/>
                <w:szCs w:val="22"/>
              </w:rPr>
              <w:t xml:space="preserve"> </w:t>
            </w:r>
            <w:r w:rsidRPr="00D13D4E">
              <w:rPr>
                <w:rFonts w:ascii="Calibri" w:hAnsi="Calibri"/>
                <w:szCs w:val="22"/>
                <w:lang w:eastAsia="en-IN" w:bidi="hi-IN"/>
              </w:rPr>
              <w:t>GoI sub-national governance and decentralised service delivery systems strengthened through enhanced participatory processes</w:t>
            </w:r>
          </w:p>
        </w:tc>
        <w:tc>
          <w:tcPr>
            <w:tcW w:w="7128" w:type="dxa"/>
          </w:tcPr>
          <w:p w:rsidR="00B021C6" w:rsidRPr="00D13D4E" w:rsidRDefault="00B021C6" w:rsidP="003A28EA">
            <w:pPr>
              <w:widowControl/>
              <w:spacing w:before="40" w:after="40"/>
              <w:rPr>
                <w:rFonts w:ascii="Calibri" w:hAnsi="Calibri"/>
                <w:b/>
                <w:szCs w:val="22"/>
              </w:rPr>
            </w:pPr>
            <w:r w:rsidRPr="00D13D4E">
              <w:rPr>
                <w:rFonts w:ascii="Calibri" w:hAnsi="Calibri"/>
                <w:b/>
                <w:szCs w:val="22"/>
              </w:rPr>
              <w:t>UNDP</w:t>
            </w:r>
          </w:p>
          <w:p w:rsidR="00B021C6" w:rsidRPr="00D13D4E" w:rsidRDefault="00B021C6" w:rsidP="00D17B38">
            <w:pPr>
              <w:pStyle w:val="ListParagraph"/>
              <w:numPr>
                <w:ilvl w:val="0"/>
                <w:numId w:val="5"/>
              </w:numPr>
              <w:spacing w:after="120" w:line="240" w:lineRule="auto"/>
              <w:ind w:left="432" w:hanging="274"/>
              <w:rPr>
                <w:bCs/>
              </w:rPr>
            </w:pPr>
            <w:r w:rsidRPr="00D13D4E">
              <w:rPr>
                <w:bCs/>
              </w:rPr>
              <w:t>An assessment mission on “</w:t>
            </w:r>
            <w:r w:rsidRPr="00D13D4E">
              <w:rPr>
                <w:bCs/>
                <w:i/>
                <w:iCs/>
              </w:rPr>
              <w:t>Public Financial Management</w:t>
            </w:r>
            <w:r w:rsidRPr="00D13D4E">
              <w:rPr>
                <w:bCs/>
              </w:rPr>
              <w:t xml:space="preserve">” (PFM) was conducted for Basra Governorate by the international consultant, where a number of officials from PC and Diwan Governorate was interviewed.   </w:t>
            </w:r>
          </w:p>
          <w:p w:rsidR="00B021C6" w:rsidRPr="00D13D4E" w:rsidRDefault="00B021C6" w:rsidP="003A28EA">
            <w:pPr>
              <w:widowControl/>
              <w:spacing w:before="40" w:after="40"/>
              <w:rPr>
                <w:rFonts w:ascii="Calibri" w:hAnsi="Calibri"/>
                <w:b/>
                <w:szCs w:val="22"/>
              </w:rPr>
            </w:pPr>
          </w:p>
          <w:p w:rsidR="003A28EA" w:rsidRPr="00D13D4E" w:rsidRDefault="003A28EA" w:rsidP="003A28EA">
            <w:pPr>
              <w:widowControl/>
              <w:spacing w:before="40" w:after="40"/>
              <w:rPr>
                <w:rFonts w:ascii="Calibri" w:hAnsi="Calibri"/>
                <w:b/>
                <w:szCs w:val="22"/>
              </w:rPr>
            </w:pPr>
            <w:r w:rsidRPr="00D13D4E">
              <w:rPr>
                <w:rFonts w:ascii="Calibri" w:hAnsi="Calibri"/>
                <w:b/>
                <w:szCs w:val="22"/>
              </w:rPr>
              <w:t>UNDP - eGovernance</w:t>
            </w:r>
          </w:p>
          <w:p w:rsidR="00B92C6A" w:rsidRPr="00D13D4E" w:rsidRDefault="00B92C6A" w:rsidP="00D17B38">
            <w:pPr>
              <w:pStyle w:val="ListParagraph"/>
              <w:numPr>
                <w:ilvl w:val="0"/>
                <w:numId w:val="5"/>
              </w:numPr>
              <w:spacing w:after="120" w:line="240" w:lineRule="auto"/>
              <w:ind w:left="432" w:hanging="274"/>
              <w:rPr>
                <w:bCs/>
              </w:rPr>
            </w:pPr>
            <w:r w:rsidRPr="00D13D4E">
              <w:rPr>
                <w:bCs/>
              </w:rPr>
              <w:t xml:space="preserve">A mission was carried out to Basra and Missan Governorates by UNDP </w:t>
            </w:r>
            <w:r w:rsidR="00085DB1" w:rsidRPr="00D13D4E">
              <w:rPr>
                <w:bCs/>
              </w:rPr>
              <w:t>e</w:t>
            </w:r>
            <w:r w:rsidRPr="00D13D4E">
              <w:rPr>
                <w:bCs/>
              </w:rPr>
              <w:t>-gov</w:t>
            </w:r>
            <w:r w:rsidR="00001508" w:rsidRPr="00D13D4E">
              <w:rPr>
                <w:bCs/>
              </w:rPr>
              <w:t>.</w:t>
            </w:r>
            <w:r w:rsidRPr="00D13D4E">
              <w:rPr>
                <w:bCs/>
              </w:rPr>
              <w:t xml:space="preserve"> consultant to follow up on the execution of e-province and the new paradigm of integrated e-Service platform and delivery </w:t>
            </w:r>
          </w:p>
          <w:p w:rsidR="00B92C6A" w:rsidRPr="00D13D4E" w:rsidRDefault="00B92C6A" w:rsidP="00D17B38">
            <w:pPr>
              <w:pStyle w:val="ListParagraph"/>
              <w:numPr>
                <w:ilvl w:val="0"/>
                <w:numId w:val="5"/>
              </w:numPr>
              <w:spacing w:after="120" w:line="240" w:lineRule="auto"/>
              <w:ind w:left="432" w:hanging="274"/>
              <w:rPr>
                <w:bCs/>
              </w:rPr>
            </w:pPr>
            <w:r w:rsidRPr="00D13D4E">
              <w:rPr>
                <w:bCs/>
              </w:rPr>
              <w:t>A 6-day workshop was implemented in Basra on “</w:t>
            </w:r>
            <w:r w:rsidRPr="00D13D4E">
              <w:rPr>
                <w:bCs/>
                <w:i/>
                <w:iCs/>
              </w:rPr>
              <w:t>Basra Citizen Portal</w:t>
            </w:r>
            <w:r w:rsidRPr="00D13D4E">
              <w:rPr>
                <w:bCs/>
              </w:rPr>
              <w:t xml:space="preserve">” involving concerned participants from Basra local institutions. </w:t>
            </w:r>
          </w:p>
          <w:p w:rsidR="00B92C6A" w:rsidRPr="00D13D4E" w:rsidRDefault="00B92C6A" w:rsidP="00D17B38">
            <w:pPr>
              <w:pStyle w:val="ListParagraph"/>
              <w:numPr>
                <w:ilvl w:val="0"/>
                <w:numId w:val="5"/>
              </w:numPr>
              <w:spacing w:after="120" w:line="240" w:lineRule="auto"/>
              <w:ind w:left="432" w:hanging="274"/>
              <w:rPr>
                <w:bCs/>
              </w:rPr>
            </w:pPr>
            <w:r w:rsidRPr="00D13D4E">
              <w:rPr>
                <w:bCs/>
              </w:rPr>
              <w:t>Under UNDP e-gov component, a mission was conducted to Missan Province to discuss the establishment of pilot “</w:t>
            </w:r>
            <w:r w:rsidRPr="00D13D4E">
              <w:rPr>
                <w:bCs/>
                <w:i/>
                <w:iCs/>
              </w:rPr>
              <w:t xml:space="preserve">Community Service </w:t>
            </w:r>
            <w:r w:rsidR="00EE18AE" w:rsidRPr="00D13D4E">
              <w:rPr>
                <w:bCs/>
                <w:i/>
                <w:iCs/>
              </w:rPr>
              <w:t>Centres</w:t>
            </w:r>
            <w:r w:rsidRPr="00D13D4E">
              <w:rPr>
                <w:bCs/>
              </w:rPr>
              <w:t xml:space="preserve">” as a one-stop service delivery shop. </w:t>
            </w:r>
          </w:p>
          <w:p w:rsidR="00B92C6A" w:rsidRPr="00D13D4E" w:rsidRDefault="00B92C6A" w:rsidP="00D17B38">
            <w:pPr>
              <w:pStyle w:val="ListParagraph"/>
              <w:numPr>
                <w:ilvl w:val="0"/>
                <w:numId w:val="5"/>
              </w:numPr>
              <w:spacing w:after="120" w:line="240" w:lineRule="auto"/>
              <w:ind w:left="432" w:hanging="274"/>
              <w:rPr>
                <w:bCs/>
              </w:rPr>
            </w:pPr>
            <w:r w:rsidRPr="00D13D4E">
              <w:rPr>
                <w:bCs/>
              </w:rPr>
              <w:t xml:space="preserve">A number of site visits were conducted to the targeted directorates in Missan Governorate to follow up on the executing of pilot e-services, and to discuss the requirements for enhanced administrative capacity and technological e-readiness of the targeted directorates and also the respective transformation plan.  </w:t>
            </w:r>
          </w:p>
          <w:p w:rsidR="00B45BC4" w:rsidRPr="00D13D4E" w:rsidRDefault="00B92C6A" w:rsidP="00D17B38">
            <w:pPr>
              <w:pStyle w:val="ListParagraph"/>
              <w:numPr>
                <w:ilvl w:val="0"/>
                <w:numId w:val="5"/>
              </w:numPr>
              <w:spacing w:after="120" w:line="240" w:lineRule="auto"/>
              <w:ind w:left="432" w:hanging="274"/>
              <w:rPr>
                <w:bCs/>
              </w:rPr>
            </w:pPr>
            <w:r w:rsidRPr="00D13D4E">
              <w:rPr>
                <w:bCs/>
              </w:rPr>
              <w:t xml:space="preserve">Technical support was provided to Missan Governorate on the technical evaluation of the e-Province bidding. </w:t>
            </w:r>
          </w:p>
          <w:p w:rsidR="00B45BC4" w:rsidRPr="00D13D4E" w:rsidRDefault="000D1A45" w:rsidP="00D17B38">
            <w:pPr>
              <w:pStyle w:val="ListParagraph"/>
              <w:numPr>
                <w:ilvl w:val="0"/>
                <w:numId w:val="5"/>
              </w:numPr>
              <w:spacing w:after="120" w:line="240" w:lineRule="auto"/>
              <w:ind w:left="432" w:hanging="274"/>
              <w:rPr>
                <w:bCs/>
              </w:rPr>
            </w:pPr>
            <w:r w:rsidRPr="00D13D4E">
              <w:rPr>
                <w:bCs/>
              </w:rPr>
              <w:t xml:space="preserve">A </w:t>
            </w:r>
            <w:r w:rsidR="00B45BC4" w:rsidRPr="00D13D4E">
              <w:rPr>
                <w:bCs/>
              </w:rPr>
              <w:t>meeting was conducted with senior representatives from Karbala Province to provide an orientation session for introducing the e</w:t>
            </w:r>
            <w:r w:rsidR="00B45BC4" w:rsidRPr="00D13D4E">
              <w:rPr>
                <w:bCs/>
              </w:rPr>
              <w:noBreakHyphen/>
              <w:t>Province model and how it can be adopted in the governorate in line with Karbala e-governance initiative</w:t>
            </w:r>
          </w:p>
        </w:tc>
        <w:tc>
          <w:tcPr>
            <w:tcW w:w="990" w:type="dxa"/>
          </w:tcPr>
          <w:p w:rsidR="009440D8" w:rsidRPr="00D13D4E" w:rsidRDefault="009440D8" w:rsidP="00FC767A">
            <w:pPr>
              <w:spacing w:before="40" w:after="40"/>
              <w:jc w:val="center"/>
              <w:rPr>
                <w:rFonts w:ascii="Calibri" w:hAnsi="Calibri"/>
                <w:b/>
                <w:szCs w:val="22"/>
              </w:rPr>
            </w:pPr>
          </w:p>
          <w:p w:rsidR="001946FF" w:rsidRPr="00D13D4E" w:rsidRDefault="00BD3B9C" w:rsidP="00FC767A">
            <w:pPr>
              <w:spacing w:before="40" w:after="40"/>
              <w:jc w:val="center"/>
              <w:rPr>
                <w:rFonts w:ascii="Calibri" w:hAnsi="Calibri"/>
                <w:b/>
                <w:szCs w:val="22"/>
              </w:rPr>
            </w:pPr>
            <w:r w:rsidRPr="00D13D4E">
              <w:rPr>
                <w:rFonts w:ascii="Calibri" w:hAnsi="Calibri"/>
                <w:b/>
                <w:szCs w:val="22"/>
              </w:rPr>
              <w:t>32%</w:t>
            </w:r>
          </w:p>
          <w:p w:rsidR="001946FF" w:rsidRPr="00D13D4E" w:rsidRDefault="001946FF" w:rsidP="00FC767A">
            <w:pPr>
              <w:spacing w:before="40" w:after="40"/>
              <w:jc w:val="center"/>
              <w:rPr>
                <w:rFonts w:ascii="Calibri" w:hAnsi="Calibri"/>
                <w:b/>
                <w:szCs w:val="22"/>
              </w:rPr>
            </w:pPr>
          </w:p>
        </w:tc>
      </w:tr>
      <w:tr w:rsidR="00DD16E0" w:rsidRPr="00D13D4E" w:rsidTr="00D97DAB">
        <w:trPr>
          <w:trHeight w:val="530"/>
        </w:trPr>
        <w:tc>
          <w:tcPr>
            <w:tcW w:w="1980" w:type="dxa"/>
            <w:vMerge/>
          </w:tcPr>
          <w:p w:rsidR="001946FF" w:rsidRPr="00D13D4E" w:rsidRDefault="001946FF" w:rsidP="009B20E3">
            <w:pPr>
              <w:spacing w:before="40" w:after="40"/>
              <w:rPr>
                <w:rFonts w:ascii="Calibri" w:hAnsi="Calibri"/>
                <w:szCs w:val="22"/>
              </w:rPr>
            </w:pPr>
          </w:p>
        </w:tc>
        <w:tc>
          <w:tcPr>
            <w:tcW w:w="7128" w:type="dxa"/>
          </w:tcPr>
          <w:p w:rsidR="001946FF" w:rsidRPr="00D13D4E" w:rsidRDefault="001946FF" w:rsidP="009B20E3">
            <w:pPr>
              <w:spacing w:before="40" w:after="40"/>
              <w:rPr>
                <w:rFonts w:ascii="Calibri" w:hAnsi="Calibri"/>
                <w:b/>
                <w:bCs/>
                <w:szCs w:val="22"/>
                <w:lang w:val="en-US"/>
              </w:rPr>
            </w:pPr>
            <w:r w:rsidRPr="00D13D4E">
              <w:rPr>
                <w:rFonts w:ascii="Calibri" w:hAnsi="Calibri"/>
                <w:b/>
                <w:bCs/>
                <w:szCs w:val="22"/>
                <w:lang w:val="en-US"/>
              </w:rPr>
              <w:t>UNHABITAT</w:t>
            </w:r>
          </w:p>
          <w:p w:rsidR="00484794" w:rsidRPr="00D13D4E" w:rsidRDefault="00484794" w:rsidP="00D17B38">
            <w:pPr>
              <w:pStyle w:val="ListParagraph"/>
              <w:numPr>
                <w:ilvl w:val="0"/>
                <w:numId w:val="5"/>
              </w:numPr>
              <w:spacing w:after="120" w:line="240" w:lineRule="auto"/>
              <w:ind w:left="432" w:hanging="274"/>
              <w:rPr>
                <w:bCs/>
              </w:rPr>
            </w:pPr>
            <w:r w:rsidRPr="00D13D4E">
              <w:rPr>
                <w:bCs/>
              </w:rPr>
              <w:t>A Study Tour was organized for Najaf Water Directorate in Turkey on “</w:t>
            </w:r>
            <w:r w:rsidRPr="00D13D4E">
              <w:rPr>
                <w:bCs/>
                <w:i/>
                <w:iCs/>
              </w:rPr>
              <w:t>Current Legal/ Administrative Structure of Water Sector, Private Sector Participation Options, Budgeting and Strategic Planning, Meter Reading, Billing and Collection Systems, Commercialization and Revenue Improvement programs, etc.”</w:t>
            </w:r>
          </w:p>
          <w:p w:rsidR="00484794" w:rsidRPr="00D13D4E" w:rsidRDefault="00484794" w:rsidP="00D17B38">
            <w:pPr>
              <w:pStyle w:val="ListParagraph"/>
              <w:numPr>
                <w:ilvl w:val="0"/>
                <w:numId w:val="5"/>
              </w:numPr>
              <w:spacing w:after="120" w:line="240" w:lineRule="auto"/>
              <w:ind w:left="432" w:hanging="274"/>
              <w:rPr>
                <w:bCs/>
              </w:rPr>
            </w:pPr>
            <w:r w:rsidRPr="00D13D4E">
              <w:rPr>
                <w:bCs/>
              </w:rPr>
              <w:t>A workshop was conducted on “</w:t>
            </w:r>
            <w:r w:rsidRPr="00D13D4E">
              <w:rPr>
                <w:bCs/>
                <w:i/>
                <w:iCs/>
              </w:rPr>
              <w:t>Revenue System Enhancement</w:t>
            </w:r>
            <w:r w:rsidRPr="00D13D4E">
              <w:rPr>
                <w:bCs/>
              </w:rPr>
              <w:t>”, targeting the heads of revenue in provinces and heads of departments in NWD.</w:t>
            </w:r>
          </w:p>
        </w:tc>
        <w:tc>
          <w:tcPr>
            <w:tcW w:w="990" w:type="dxa"/>
          </w:tcPr>
          <w:p w:rsidR="001946FF" w:rsidRPr="00D13D4E" w:rsidRDefault="001946FF" w:rsidP="00FC767A">
            <w:pPr>
              <w:spacing w:before="40" w:after="40"/>
              <w:jc w:val="center"/>
              <w:rPr>
                <w:rFonts w:ascii="Calibri" w:hAnsi="Calibri"/>
                <w:b/>
                <w:szCs w:val="22"/>
              </w:rPr>
            </w:pPr>
          </w:p>
          <w:p w:rsidR="001946FF" w:rsidRPr="00D13D4E" w:rsidRDefault="002E71DB" w:rsidP="002B2C0E">
            <w:pPr>
              <w:spacing w:before="40" w:after="40"/>
              <w:rPr>
                <w:rFonts w:ascii="Calibri" w:hAnsi="Calibri"/>
                <w:b/>
                <w:szCs w:val="22"/>
              </w:rPr>
            </w:pPr>
            <w:r w:rsidRPr="00D13D4E">
              <w:rPr>
                <w:rFonts w:ascii="Calibri" w:hAnsi="Calibri"/>
                <w:b/>
                <w:szCs w:val="22"/>
              </w:rPr>
              <w:t>40%</w:t>
            </w:r>
          </w:p>
        </w:tc>
      </w:tr>
      <w:tr w:rsidR="004E1224" w:rsidRPr="00D13D4E" w:rsidTr="00E45701">
        <w:trPr>
          <w:trHeight w:val="926"/>
        </w:trPr>
        <w:tc>
          <w:tcPr>
            <w:tcW w:w="1980" w:type="dxa"/>
            <w:vMerge/>
          </w:tcPr>
          <w:p w:rsidR="004E1224" w:rsidRPr="00D13D4E" w:rsidRDefault="004E1224" w:rsidP="009B20E3">
            <w:pPr>
              <w:spacing w:before="40" w:after="40"/>
              <w:rPr>
                <w:rFonts w:ascii="Calibri" w:hAnsi="Calibri"/>
                <w:szCs w:val="22"/>
              </w:rPr>
            </w:pPr>
          </w:p>
        </w:tc>
        <w:tc>
          <w:tcPr>
            <w:tcW w:w="7128" w:type="dxa"/>
          </w:tcPr>
          <w:p w:rsidR="004E1224" w:rsidRPr="00D13D4E" w:rsidRDefault="004E1224" w:rsidP="009B20E3">
            <w:pPr>
              <w:spacing w:before="40" w:after="40"/>
              <w:rPr>
                <w:rFonts w:ascii="Calibri" w:hAnsi="Calibri"/>
                <w:b/>
                <w:bCs/>
                <w:szCs w:val="22"/>
                <w:lang w:val="en-US"/>
              </w:rPr>
            </w:pPr>
            <w:r w:rsidRPr="00D13D4E">
              <w:rPr>
                <w:rFonts w:ascii="Calibri" w:hAnsi="Calibri"/>
                <w:b/>
                <w:bCs/>
                <w:szCs w:val="22"/>
                <w:lang w:val="en-US"/>
              </w:rPr>
              <w:t>UNICEF</w:t>
            </w:r>
          </w:p>
          <w:p w:rsidR="004E1224" w:rsidRPr="00D13D4E" w:rsidRDefault="007D7603" w:rsidP="00D17B38">
            <w:pPr>
              <w:pStyle w:val="ListParagraph"/>
              <w:numPr>
                <w:ilvl w:val="0"/>
                <w:numId w:val="5"/>
              </w:numPr>
              <w:spacing w:after="120" w:line="240" w:lineRule="auto"/>
              <w:ind w:left="432" w:hanging="274"/>
              <w:rPr>
                <w:bCs/>
              </w:rPr>
            </w:pPr>
            <w:r w:rsidRPr="00D13D4E">
              <w:rPr>
                <w:bCs/>
              </w:rPr>
              <w:t xml:space="preserve">Preparations were completed to implement training program </w:t>
            </w:r>
            <w:r w:rsidR="00E45701" w:rsidRPr="00D13D4E">
              <w:rPr>
                <w:bCs/>
              </w:rPr>
              <w:t xml:space="preserve">to build capacity of concerned school cadres, community representatives and school management committees (SMC) </w:t>
            </w:r>
            <w:r w:rsidRPr="00D13D4E">
              <w:rPr>
                <w:bCs/>
              </w:rPr>
              <w:t>on School-Based Management for Basra, Najaf and Dahuk.</w:t>
            </w:r>
          </w:p>
        </w:tc>
        <w:tc>
          <w:tcPr>
            <w:tcW w:w="990" w:type="dxa"/>
          </w:tcPr>
          <w:p w:rsidR="00975687" w:rsidRPr="00D13D4E" w:rsidRDefault="00975687" w:rsidP="00FC767A">
            <w:pPr>
              <w:spacing w:before="40" w:after="40"/>
              <w:jc w:val="center"/>
              <w:rPr>
                <w:rFonts w:ascii="Calibri" w:hAnsi="Calibri"/>
                <w:b/>
                <w:szCs w:val="22"/>
              </w:rPr>
            </w:pPr>
          </w:p>
          <w:p w:rsidR="00593B9D" w:rsidRPr="00D13D4E" w:rsidRDefault="00593B9D" w:rsidP="00FC767A">
            <w:pPr>
              <w:spacing w:before="40" w:after="40"/>
              <w:jc w:val="center"/>
              <w:rPr>
                <w:rFonts w:ascii="Calibri" w:hAnsi="Calibri"/>
                <w:b/>
                <w:szCs w:val="22"/>
              </w:rPr>
            </w:pPr>
            <w:r w:rsidRPr="00D13D4E">
              <w:rPr>
                <w:rFonts w:ascii="Calibri" w:hAnsi="Calibri"/>
                <w:b/>
                <w:szCs w:val="22"/>
              </w:rPr>
              <w:t>39%</w:t>
            </w:r>
          </w:p>
        </w:tc>
      </w:tr>
      <w:tr w:rsidR="00862418" w:rsidRPr="00D13D4E" w:rsidTr="00406313">
        <w:trPr>
          <w:trHeight w:val="1127"/>
        </w:trPr>
        <w:tc>
          <w:tcPr>
            <w:tcW w:w="1980" w:type="dxa"/>
            <w:vMerge/>
          </w:tcPr>
          <w:p w:rsidR="00862418" w:rsidRPr="00D13D4E" w:rsidRDefault="00862418" w:rsidP="009B20E3">
            <w:pPr>
              <w:spacing w:before="40" w:after="40"/>
              <w:rPr>
                <w:rFonts w:ascii="Calibri" w:hAnsi="Calibri"/>
                <w:szCs w:val="22"/>
              </w:rPr>
            </w:pPr>
          </w:p>
        </w:tc>
        <w:tc>
          <w:tcPr>
            <w:tcW w:w="7128" w:type="dxa"/>
          </w:tcPr>
          <w:p w:rsidR="00862418" w:rsidRPr="00D13D4E" w:rsidRDefault="00862418" w:rsidP="00406313">
            <w:pPr>
              <w:spacing w:before="40" w:after="40"/>
              <w:rPr>
                <w:rFonts w:ascii="Calibri" w:hAnsi="Calibri"/>
                <w:b/>
                <w:bCs/>
                <w:szCs w:val="22"/>
                <w:lang w:val="en-US"/>
              </w:rPr>
            </w:pPr>
            <w:r w:rsidRPr="00D13D4E">
              <w:rPr>
                <w:rFonts w:ascii="Calibri" w:hAnsi="Calibri"/>
                <w:b/>
                <w:bCs/>
                <w:szCs w:val="22"/>
                <w:lang w:val="en-US"/>
              </w:rPr>
              <w:t>UNWOMEN</w:t>
            </w:r>
          </w:p>
          <w:p w:rsidR="00862418" w:rsidRPr="00D13D4E" w:rsidRDefault="00862418" w:rsidP="00D17B38">
            <w:pPr>
              <w:pStyle w:val="ListParagraph"/>
              <w:numPr>
                <w:ilvl w:val="0"/>
                <w:numId w:val="5"/>
              </w:numPr>
              <w:spacing w:after="120" w:line="240" w:lineRule="auto"/>
              <w:ind w:left="432" w:hanging="274"/>
              <w:rPr>
                <w:bCs/>
              </w:rPr>
            </w:pPr>
            <w:r w:rsidRPr="00D13D4E">
              <w:rPr>
                <w:bCs/>
              </w:rPr>
              <w:t>A four-day in-depth workshop was initiated for Basra Governorate officials on “</w:t>
            </w:r>
            <w:r w:rsidRPr="00D13D4E">
              <w:rPr>
                <w:bCs/>
                <w:i/>
                <w:iCs/>
              </w:rPr>
              <w:t>Main policy gaps in gender mainstreaming and gender indictors</w:t>
            </w:r>
            <w:r w:rsidRPr="00D13D4E">
              <w:rPr>
                <w:bCs/>
              </w:rPr>
              <w:t>”.</w:t>
            </w:r>
          </w:p>
        </w:tc>
        <w:tc>
          <w:tcPr>
            <w:tcW w:w="990" w:type="dxa"/>
          </w:tcPr>
          <w:p w:rsidR="00862418" w:rsidRPr="00D13D4E" w:rsidRDefault="00862418" w:rsidP="00FC767A">
            <w:pPr>
              <w:spacing w:before="40" w:after="40"/>
              <w:jc w:val="center"/>
              <w:rPr>
                <w:rFonts w:ascii="Calibri" w:hAnsi="Calibri"/>
                <w:b/>
                <w:szCs w:val="22"/>
              </w:rPr>
            </w:pPr>
          </w:p>
          <w:p w:rsidR="00022535" w:rsidRPr="00D13D4E" w:rsidRDefault="00022535" w:rsidP="00FC767A">
            <w:pPr>
              <w:spacing w:before="40" w:after="40"/>
              <w:jc w:val="center"/>
              <w:rPr>
                <w:rFonts w:ascii="Calibri" w:hAnsi="Calibri"/>
                <w:b/>
                <w:szCs w:val="22"/>
              </w:rPr>
            </w:pPr>
            <w:r w:rsidRPr="00D13D4E">
              <w:rPr>
                <w:rFonts w:ascii="Calibri" w:hAnsi="Calibri"/>
                <w:b/>
                <w:szCs w:val="22"/>
              </w:rPr>
              <w:t>20%</w:t>
            </w:r>
          </w:p>
        </w:tc>
      </w:tr>
      <w:tr w:rsidR="00084B91" w:rsidRPr="00D13D4E" w:rsidTr="001E44D8">
        <w:trPr>
          <w:trHeight w:val="1463"/>
        </w:trPr>
        <w:tc>
          <w:tcPr>
            <w:tcW w:w="1980" w:type="dxa"/>
            <w:vMerge/>
          </w:tcPr>
          <w:p w:rsidR="00084B91" w:rsidRPr="00D13D4E" w:rsidRDefault="00084B91" w:rsidP="009B20E3">
            <w:pPr>
              <w:spacing w:before="40" w:after="40"/>
              <w:rPr>
                <w:rFonts w:ascii="Calibri" w:hAnsi="Calibri"/>
                <w:szCs w:val="22"/>
              </w:rPr>
            </w:pPr>
          </w:p>
        </w:tc>
        <w:tc>
          <w:tcPr>
            <w:tcW w:w="7128" w:type="dxa"/>
          </w:tcPr>
          <w:p w:rsidR="00084B91" w:rsidRPr="00D13D4E" w:rsidRDefault="00084B91" w:rsidP="009B20E3">
            <w:pPr>
              <w:spacing w:before="40" w:after="40"/>
              <w:rPr>
                <w:rFonts w:ascii="Calibri" w:hAnsi="Calibri"/>
                <w:b/>
                <w:bCs/>
                <w:szCs w:val="22"/>
                <w:lang w:val="en-US"/>
              </w:rPr>
            </w:pPr>
            <w:r w:rsidRPr="00D13D4E">
              <w:rPr>
                <w:rFonts w:ascii="Calibri" w:hAnsi="Calibri"/>
                <w:b/>
                <w:bCs/>
                <w:szCs w:val="22"/>
                <w:lang w:val="en-US"/>
              </w:rPr>
              <w:t>UNFPA</w:t>
            </w:r>
          </w:p>
          <w:p w:rsidR="00F927A3" w:rsidRPr="00D13D4E" w:rsidRDefault="00F927A3" w:rsidP="00D17B38">
            <w:pPr>
              <w:pStyle w:val="ListParagraph"/>
              <w:numPr>
                <w:ilvl w:val="0"/>
                <w:numId w:val="5"/>
              </w:numPr>
              <w:spacing w:after="120" w:line="240" w:lineRule="auto"/>
              <w:ind w:left="432" w:hanging="274"/>
              <w:rPr>
                <w:bCs/>
              </w:rPr>
            </w:pPr>
            <w:r w:rsidRPr="00D13D4E">
              <w:rPr>
                <w:bCs/>
              </w:rPr>
              <w:t xml:space="preserve">Four ToRs were drafted for international experts over the area of youth participation in decision making process. </w:t>
            </w:r>
          </w:p>
          <w:p w:rsidR="00F927A3" w:rsidRPr="00D13D4E" w:rsidRDefault="00F927A3" w:rsidP="00D17B38">
            <w:pPr>
              <w:pStyle w:val="ListParagraph"/>
              <w:numPr>
                <w:ilvl w:val="0"/>
                <w:numId w:val="5"/>
              </w:numPr>
              <w:spacing w:after="120" w:line="240" w:lineRule="auto"/>
              <w:ind w:left="432" w:hanging="274"/>
              <w:rPr>
                <w:bCs/>
              </w:rPr>
            </w:pPr>
            <w:r w:rsidRPr="00D13D4E">
              <w:rPr>
                <w:bCs/>
              </w:rPr>
              <w:t xml:space="preserve">Three consultative meetings were conducted with concerned partners to identify the most relevant youth structures under MOYs.  </w:t>
            </w:r>
          </w:p>
          <w:p w:rsidR="00E45701" w:rsidRPr="00D13D4E" w:rsidRDefault="00F927A3" w:rsidP="00D17B38">
            <w:pPr>
              <w:pStyle w:val="ListParagraph"/>
              <w:numPr>
                <w:ilvl w:val="0"/>
                <w:numId w:val="5"/>
              </w:numPr>
              <w:spacing w:after="120" w:line="240" w:lineRule="auto"/>
              <w:ind w:left="432" w:hanging="274"/>
              <w:rPr>
                <w:lang w:val="en-US"/>
              </w:rPr>
            </w:pPr>
            <w:r w:rsidRPr="00D13D4E">
              <w:rPr>
                <w:bCs/>
              </w:rPr>
              <w:t>Three missions were planned to take place by the American University in Beirut.</w:t>
            </w:r>
          </w:p>
        </w:tc>
        <w:tc>
          <w:tcPr>
            <w:tcW w:w="990" w:type="dxa"/>
          </w:tcPr>
          <w:p w:rsidR="00084B91" w:rsidRPr="00D13D4E" w:rsidRDefault="00084B91" w:rsidP="00FC767A">
            <w:pPr>
              <w:spacing w:before="40" w:after="40"/>
              <w:jc w:val="center"/>
              <w:rPr>
                <w:rFonts w:ascii="Calibri" w:hAnsi="Calibri"/>
                <w:b/>
                <w:szCs w:val="22"/>
              </w:rPr>
            </w:pPr>
          </w:p>
          <w:p w:rsidR="0050231B" w:rsidRPr="00D13D4E" w:rsidRDefault="0050231B" w:rsidP="00FC767A">
            <w:pPr>
              <w:spacing w:before="40" w:after="40"/>
              <w:jc w:val="center"/>
              <w:rPr>
                <w:rFonts w:ascii="Calibri" w:hAnsi="Calibri"/>
                <w:b/>
                <w:szCs w:val="22"/>
              </w:rPr>
            </w:pPr>
            <w:r w:rsidRPr="00D13D4E">
              <w:rPr>
                <w:rFonts w:ascii="Calibri" w:hAnsi="Calibri"/>
                <w:b/>
                <w:szCs w:val="22"/>
              </w:rPr>
              <w:t>35%</w:t>
            </w:r>
          </w:p>
        </w:tc>
      </w:tr>
    </w:tbl>
    <w:p w:rsidR="00C77ACF" w:rsidRPr="00D13D4E" w:rsidRDefault="00C77ACF" w:rsidP="00C77ACF">
      <w:pPr>
        <w:rPr>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D16E0" w:rsidRPr="00D13D4E" w:rsidTr="00186364">
        <w:trPr>
          <w:tblHeader/>
          <w:jc w:val="center"/>
        </w:trPr>
        <w:tc>
          <w:tcPr>
            <w:tcW w:w="10080" w:type="dxa"/>
            <w:tcBorders>
              <w:bottom w:val="single" w:sz="4" w:space="0" w:color="auto"/>
            </w:tcBorders>
            <w:shd w:val="clear" w:color="auto" w:fill="D9D9D9"/>
          </w:tcPr>
          <w:p w:rsidR="00BC7C38" w:rsidRPr="00D13D4E" w:rsidRDefault="00BC7C38" w:rsidP="003C0007">
            <w:pPr>
              <w:spacing w:before="40" w:after="40"/>
              <w:rPr>
                <w:rFonts w:asciiTheme="minorHAnsi" w:hAnsiTheme="minorHAnsi"/>
                <w:b/>
                <w:szCs w:val="22"/>
              </w:rPr>
            </w:pPr>
            <w:r w:rsidRPr="00D13D4E">
              <w:rPr>
                <w:rFonts w:asciiTheme="minorHAnsi" w:hAnsiTheme="minorHAnsi"/>
                <w:b/>
                <w:bCs/>
                <w:szCs w:val="22"/>
                <w:lang w:val="en-US"/>
              </w:rPr>
              <w:t>Qualitative achievements against objectives and results</w:t>
            </w:r>
            <w:r w:rsidRPr="00D13D4E">
              <w:rPr>
                <w:rFonts w:asciiTheme="minorHAnsi" w:hAnsiTheme="minorHAnsi"/>
                <w:b/>
                <w:szCs w:val="22"/>
              </w:rPr>
              <w:t xml:space="preserve"> </w:t>
            </w:r>
          </w:p>
        </w:tc>
      </w:tr>
      <w:tr w:rsidR="00D13D4E" w:rsidRPr="00D13D4E" w:rsidTr="00D378EB">
        <w:trPr>
          <w:trHeight w:val="980"/>
          <w:jc w:val="center"/>
        </w:trPr>
        <w:tc>
          <w:tcPr>
            <w:tcW w:w="10080" w:type="dxa"/>
          </w:tcPr>
          <w:p w:rsidR="00F061DA" w:rsidRPr="00D13D4E" w:rsidRDefault="00F061DA" w:rsidP="002909A1">
            <w:pPr>
              <w:spacing w:before="40" w:after="40"/>
              <w:ind w:left="162"/>
              <w:rPr>
                <w:rFonts w:asciiTheme="minorHAnsi" w:hAnsiTheme="minorHAnsi"/>
                <w:b/>
                <w:bCs/>
                <w:szCs w:val="22"/>
                <w:lang w:val="en-US"/>
              </w:rPr>
            </w:pPr>
            <w:r w:rsidRPr="00D13D4E">
              <w:rPr>
                <w:rFonts w:asciiTheme="minorHAnsi" w:hAnsiTheme="minorHAnsi"/>
                <w:b/>
                <w:bCs/>
                <w:szCs w:val="22"/>
                <w:lang w:val="en-US"/>
              </w:rPr>
              <w:t>JP Output 1: GoI has enhanced capacity to undertake public sector modernization at national, regional and governorate levels</w:t>
            </w:r>
          </w:p>
          <w:p w:rsidR="00F061DA" w:rsidRPr="00D13D4E" w:rsidRDefault="00F061DA" w:rsidP="002909A1">
            <w:pPr>
              <w:spacing w:before="40" w:after="40"/>
              <w:ind w:left="162"/>
              <w:rPr>
                <w:rFonts w:asciiTheme="minorHAnsi" w:hAnsiTheme="minorHAnsi"/>
                <w:b/>
                <w:bCs/>
                <w:szCs w:val="22"/>
              </w:rPr>
            </w:pPr>
          </w:p>
          <w:p w:rsidR="009C354A" w:rsidRPr="00D13D4E" w:rsidRDefault="009C354A" w:rsidP="00BC7943">
            <w:pPr>
              <w:spacing w:before="40" w:after="40"/>
              <w:ind w:left="149"/>
              <w:rPr>
                <w:rFonts w:asciiTheme="minorHAnsi" w:hAnsiTheme="minorHAnsi"/>
                <w:b/>
                <w:bCs/>
                <w:szCs w:val="22"/>
                <w:lang w:val="en-US"/>
              </w:rPr>
            </w:pPr>
            <w:r w:rsidRPr="00D13D4E">
              <w:rPr>
                <w:rFonts w:asciiTheme="minorHAnsi" w:hAnsiTheme="minorHAnsi"/>
                <w:b/>
                <w:bCs/>
                <w:szCs w:val="22"/>
                <w:lang w:val="en-US"/>
              </w:rPr>
              <w:t>JMT/UNDP PAR Monitoring and Reporting System</w:t>
            </w:r>
          </w:p>
          <w:p w:rsidR="009C354A" w:rsidRPr="00D13D4E" w:rsidRDefault="009C354A" w:rsidP="00D17B38">
            <w:pPr>
              <w:pStyle w:val="ListParagraph"/>
              <w:numPr>
                <w:ilvl w:val="0"/>
                <w:numId w:val="5"/>
              </w:numPr>
              <w:spacing w:after="120" w:line="240" w:lineRule="auto"/>
              <w:ind w:left="432" w:hanging="274"/>
              <w:rPr>
                <w:bCs/>
              </w:rPr>
            </w:pPr>
            <w:r w:rsidRPr="00D13D4E">
              <w:rPr>
                <w:bCs/>
              </w:rPr>
              <w:t xml:space="preserve">As part of the technical assistance provided to the PAR Management Committee, </w:t>
            </w:r>
            <w:r w:rsidR="00937DC5" w:rsidRPr="00D13D4E">
              <w:rPr>
                <w:bCs/>
              </w:rPr>
              <w:t>IPSM-JMU</w:t>
            </w:r>
            <w:r w:rsidRPr="00D13D4E">
              <w:rPr>
                <w:bCs/>
              </w:rPr>
              <w:t xml:space="preserve"> pursued its work with COMSEC’s IT Department to complete the automation of the PAR Monitoring and Reporting System previously devised.  The System that is based on RBM principles and intended to record achievements and progress against planned results within the PAR Roadmap.   In this regards, The system has been fully automated and is currently under </w:t>
            </w:r>
            <w:r w:rsidR="00937DC5" w:rsidRPr="00D13D4E">
              <w:rPr>
                <w:bCs/>
              </w:rPr>
              <w:t>use</w:t>
            </w:r>
            <w:r w:rsidRPr="00D13D4E">
              <w:rPr>
                <w:bCs/>
              </w:rPr>
              <w:t xml:space="preserve"> by the national counterparts</w:t>
            </w:r>
          </w:p>
          <w:p w:rsidR="00B61858" w:rsidRPr="00D13D4E" w:rsidRDefault="00C42001" w:rsidP="00D17B38">
            <w:pPr>
              <w:pStyle w:val="ListParagraph"/>
              <w:numPr>
                <w:ilvl w:val="0"/>
                <w:numId w:val="5"/>
              </w:numPr>
              <w:spacing w:after="120" w:line="240" w:lineRule="auto"/>
              <w:ind w:left="432" w:hanging="274"/>
              <w:rPr>
                <w:rFonts w:asciiTheme="minorHAnsi" w:hAnsiTheme="minorHAnsi"/>
                <w:lang w:val="en-US"/>
              </w:rPr>
            </w:pPr>
            <w:r w:rsidRPr="00D13D4E">
              <w:rPr>
                <w:bCs/>
              </w:rPr>
              <w:t xml:space="preserve">At a request of KRG Minister of Planning, a meeting was conducted in Erbil in June to reinitiate the discussion on K-PSM.  In which meeting a brief presentation was delivered by IPSM JMU on IPSM achievements, challenges and past submitting of a full-fledged project document on K-PSM and K-PAR Roadmap.  KRG MoP has expressed his willingness to start K-PSM, but due the prevailing political and security conditions, KRG can currently spare no money for the implementation of K-PSM.  However, he will seek the financial support of the Canadian and Japanese funding in this regards.  </w:t>
            </w:r>
          </w:p>
        </w:tc>
      </w:tr>
      <w:tr w:rsidR="00DD16E0" w:rsidRPr="00D13D4E" w:rsidTr="00186364">
        <w:trPr>
          <w:jc w:val="center"/>
        </w:trPr>
        <w:tc>
          <w:tcPr>
            <w:tcW w:w="10080" w:type="dxa"/>
            <w:tcBorders>
              <w:top w:val="single" w:sz="4" w:space="0" w:color="auto"/>
              <w:bottom w:val="nil"/>
            </w:tcBorders>
          </w:tcPr>
          <w:p w:rsidR="00D63FEF" w:rsidRPr="00D13D4E" w:rsidRDefault="00D63FEF" w:rsidP="00223D09">
            <w:pPr>
              <w:spacing w:before="40" w:after="40"/>
              <w:ind w:left="162"/>
              <w:rPr>
                <w:rFonts w:asciiTheme="minorHAnsi" w:hAnsiTheme="minorHAnsi"/>
                <w:b/>
                <w:bCs/>
                <w:szCs w:val="22"/>
              </w:rPr>
            </w:pPr>
            <w:r w:rsidRPr="00D13D4E">
              <w:rPr>
                <w:rFonts w:asciiTheme="minorHAnsi" w:hAnsiTheme="minorHAnsi"/>
                <w:b/>
                <w:bCs/>
                <w:szCs w:val="22"/>
                <w:lang w:val="en-US"/>
              </w:rPr>
              <w:t>JP Output 2: GoI has improved public administration systems at national and sub-national levels</w:t>
            </w:r>
          </w:p>
        </w:tc>
      </w:tr>
      <w:tr w:rsidR="00DD16E0" w:rsidRPr="00D13D4E" w:rsidTr="00186364">
        <w:trPr>
          <w:jc w:val="center"/>
        </w:trPr>
        <w:tc>
          <w:tcPr>
            <w:tcW w:w="10080" w:type="dxa"/>
            <w:tcBorders>
              <w:top w:val="nil"/>
              <w:bottom w:val="nil"/>
            </w:tcBorders>
          </w:tcPr>
          <w:p w:rsidR="0075279E" w:rsidRPr="00D13D4E" w:rsidRDefault="0075279E" w:rsidP="00302D2F">
            <w:pPr>
              <w:spacing w:before="40" w:after="40"/>
              <w:ind w:left="162"/>
              <w:rPr>
                <w:rFonts w:asciiTheme="minorHAnsi" w:hAnsiTheme="minorHAnsi"/>
                <w:b/>
                <w:szCs w:val="22"/>
              </w:rPr>
            </w:pPr>
          </w:p>
          <w:p w:rsidR="00FA6444" w:rsidRPr="00D13D4E" w:rsidRDefault="00FA6444" w:rsidP="00CC7EC9">
            <w:pPr>
              <w:spacing w:before="40" w:after="40"/>
              <w:ind w:left="149"/>
              <w:rPr>
                <w:rFonts w:asciiTheme="minorHAnsi" w:hAnsiTheme="minorHAnsi"/>
                <w:b/>
                <w:bCs/>
                <w:szCs w:val="22"/>
                <w:lang w:val="en-US"/>
              </w:rPr>
            </w:pPr>
            <w:r w:rsidRPr="00D13D4E">
              <w:rPr>
                <w:rFonts w:asciiTheme="minorHAnsi" w:hAnsiTheme="minorHAnsi"/>
                <w:b/>
                <w:bCs/>
                <w:szCs w:val="22"/>
                <w:lang w:val="en-US"/>
              </w:rPr>
              <w:t xml:space="preserve">UNDP </w:t>
            </w:r>
          </w:p>
          <w:p w:rsidR="00FA6444" w:rsidRPr="00D13D4E" w:rsidRDefault="00DA6199" w:rsidP="00D17B38">
            <w:pPr>
              <w:pStyle w:val="ListParagraph"/>
              <w:numPr>
                <w:ilvl w:val="0"/>
                <w:numId w:val="5"/>
              </w:numPr>
              <w:spacing w:after="120" w:line="240" w:lineRule="auto"/>
              <w:ind w:left="432" w:hanging="274"/>
              <w:rPr>
                <w:b/>
              </w:rPr>
            </w:pPr>
            <w:r w:rsidRPr="00D13D4E">
              <w:rPr>
                <w:b/>
              </w:rPr>
              <w:t>eGovernance</w:t>
            </w:r>
          </w:p>
          <w:p w:rsidR="00FA6444" w:rsidRPr="00D13D4E" w:rsidRDefault="00FA6444" w:rsidP="00D17B38">
            <w:pPr>
              <w:pStyle w:val="NormalWeb"/>
              <w:numPr>
                <w:ilvl w:val="0"/>
                <w:numId w:val="6"/>
              </w:numPr>
              <w:spacing w:after="0" w:line="240" w:lineRule="auto"/>
              <w:ind w:hanging="293"/>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 xml:space="preserve">e-HR System </w:t>
            </w:r>
          </w:p>
          <w:p w:rsidR="00CB4B22" w:rsidRPr="00D13D4E" w:rsidRDefault="00FA6444" w:rsidP="00D17B38">
            <w:pPr>
              <w:pStyle w:val="ListParagraph"/>
              <w:numPr>
                <w:ilvl w:val="0"/>
                <w:numId w:val="10"/>
              </w:numPr>
              <w:ind w:left="967" w:hanging="270"/>
              <w:jc w:val="both"/>
              <w:rPr>
                <w:rFonts w:asciiTheme="minorHAnsi" w:hAnsiTheme="minorHAnsi"/>
                <w:bCs/>
              </w:rPr>
            </w:pPr>
            <w:r w:rsidRPr="00D13D4E">
              <w:rPr>
                <w:rFonts w:asciiTheme="minorHAnsi" w:hAnsiTheme="minorHAnsi"/>
                <w:bCs/>
              </w:rPr>
              <w:t xml:space="preserve">UNDP provided support to GoI in developing, </w:t>
            </w:r>
            <w:r w:rsidR="00062348" w:rsidRPr="00D13D4E">
              <w:rPr>
                <w:rFonts w:asciiTheme="minorHAnsi" w:hAnsiTheme="minorHAnsi"/>
                <w:bCs/>
              </w:rPr>
              <w:t>r</w:t>
            </w:r>
            <w:r w:rsidRPr="00D13D4E">
              <w:rPr>
                <w:rFonts w:asciiTheme="minorHAnsi" w:hAnsiTheme="minorHAnsi"/>
                <w:bCs/>
              </w:rPr>
              <w:t xml:space="preserve">estructuring and coordinating common business processes and Administrative System Enterprise Architecture to </w:t>
            </w:r>
            <w:r w:rsidR="00062348" w:rsidRPr="00D13D4E">
              <w:rPr>
                <w:rFonts w:asciiTheme="minorHAnsi" w:hAnsiTheme="minorHAnsi"/>
                <w:bCs/>
              </w:rPr>
              <w:t>s</w:t>
            </w:r>
            <w:r w:rsidRPr="00D13D4E">
              <w:rPr>
                <w:rFonts w:asciiTheme="minorHAnsi" w:hAnsiTheme="minorHAnsi"/>
                <w:bCs/>
              </w:rPr>
              <w:t xml:space="preserve">implify </w:t>
            </w:r>
            <w:r w:rsidR="00062348" w:rsidRPr="00D13D4E">
              <w:rPr>
                <w:rFonts w:asciiTheme="minorHAnsi" w:hAnsiTheme="minorHAnsi"/>
                <w:bCs/>
              </w:rPr>
              <w:t>s</w:t>
            </w:r>
            <w:r w:rsidRPr="00D13D4E">
              <w:rPr>
                <w:rFonts w:asciiTheme="minorHAnsi" w:hAnsiTheme="minorHAnsi"/>
                <w:bCs/>
              </w:rPr>
              <w:t xml:space="preserve">ervice </w:t>
            </w:r>
            <w:r w:rsidR="00062348" w:rsidRPr="00D13D4E">
              <w:rPr>
                <w:rFonts w:asciiTheme="minorHAnsi" w:hAnsiTheme="minorHAnsi"/>
                <w:bCs/>
              </w:rPr>
              <w:t>d</w:t>
            </w:r>
            <w:r w:rsidRPr="00D13D4E">
              <w:rPr>
                <w:rFonts w:asciiTheme="minorHAnsi" w:hAnsiTheme="minorHAnsi"/>
                <w:bCs/>
              </w:rPr>
              <w:t xml:space="preserve">elivery </w:t>
            </w:r>
            <w:r w:rsidR="00062348" w:rsidRPr="00D13D4E">
              <w:rPr>
                <w:rFonts w:asciiTheme="minorHAnsi" w:hAnsiTheme="minorHAnsi"/>
                <w:bCs/>
              </w:rPr>
              <w:t>p</w:t>
            </w:r>
            <w:r w:rsidRPr="00D13D4E">
              <w:rPr>
                <w:rFonts w:asciiTheme="minorHAnsi" w:hAnsiTheme="minorHAnsi"/>
                <w:bCs/>
              </w:rPr>
              <w:t>rocedures and enhance the government efficiency, effectiveness and transparency.</w:t>
            </w:r>
            <w:r w:rsidR="009340CA" w:rsidRPr="00D13D4E">
              <w:rPr>
                <w:rFonts w:asciiTheme="minorHAnsi" w:hAnsiTheme="minorHAnsi"/>
                <w:bCs/>
              </w:rPr>
              <w:t xml:space="preserve">  </w:t>
            </w:r>
            <w:r w:rsidRPr="00D13D4E">
              <w:rPr>
                <w:rFonts w:asciiTheme="minorHAnsi" w:hAnsiTheme="minorHAnsi"/>
                <w:bCs/>
              </w:rPr>
              <w:t>A three</w:t>
            </w:r>
            <w:r w:rsidR="00062348" w:rsidRPr="00D13D4E">
              <w:rPr>
                <w:rFonts w:asciiTheme="minorHAnsi" w:hAnsiTheme="minorHAnsi"/>
                <w:bCs/>
              </w:rPr>
              <w:t>-</w:t>
            </w:r>
            <w:r w:rsidRPr="00D13D4E">
              <w:rPr>
                <w:rFonts w:asciiTheme="minorHAnsi" w:hAnsiTheme="minorHAnsi"/>
                <w:bCs/>
              </w:rPr>
              <w:t>day</w:t>
            </w:r>
            <w:r w:rsidR="00062348" w:rsidRPr="00D13D4E">
              <w:rPr>
                <w:rFonts w:asciiTheme="minorHAnsi" w:hAnsiTheme="minorHAnsi"/>
                <w:bCs/>
              </w:rPr>
              <w:t xml:space="preserve"> </w:t>
            </w:r>
            <w:r w:rsidRPr="00D13D4E">
              <w:rPr>
                <w:rFonts w:asciiTheme="minorHAnsi" w:hAnsiTheme="minorHAnsi"/>
                <w:bCs/>
              </w:rPr>
              <w:t xml:space="preserve">workshop </w:t>
            </w:r>
            <w:r w:rsidR="00F83E2B" w:rsidRPr="00D13D4E">
              <w:rPr>
                <w:rFonts w:asciiTheme="minorHAnsi" w:hAnsiTheme="minorHAnsi"/>
                <w:bCs/>
              </w:rPr>
              <w:t xml:space="preserve">was </w:t>
            </w:r>
            <w:r w:rsidRPr="00D13D4E">
              <w:rPr>
                <w:rFonts w:asciiTheme="minorHAnsi" w:hAnsiTheme="minorHAnsi"/>
                <w:bCs/>
              </w:rPr>
              <w:t>successfully conducted with participation of specialized HR staff from Co</w:t>
            </w:r>
            <w:r w:rsidR="00F83E2B" w:rsidRPr="00D13D4E">
              <w:rPr>
                <w:rFonts w:asciiTheme="minorHAnsi" w:hAnsiTheme="minorHAnsi"/>
                <w:bCs/>
              </w:rPr>
              <w:t>M</w:t>
            </w:r>
            <w:r w:rsidRPr="00D13D4E">
              <w:rPr>
                <w:rFonts w:asciiTheme="minorHAnsi" w:hAnsiTheme="minorHAnsi"/>
                <w:bCs/>
              </w:rPr>
              <w:t>S</w:t>
            </w:r>
            <w:r w:rsidR="00F83E2B" w:rsidRPr="00D13D4E">
              <w:rPr>
                <w:rFonts w:asciiTheme="minorHAnsi" w:hAnsiTheme="minorHAnsi"/>
                <w:bCs/>
              </w:rPr>
              <w:t>EC</w:t>
            </w:r>
            <w:r w:rsidRPr="00D13D4E">
              <w:rPr>
                <w:rFonts w:asciiTheme="minorHAnsi" w:hAnsiTheme="minorHAnsi"/>
                <w:bCs/>
              </w:rPr>
              <w:t>, MoP and MoST to discuss the 1</w:t>
            </w:r>
            <w:r w:rsidRPr="00D13D4E">
              <w:rPr>
                <w:rFonts w:asciiTheme="minorHAnsi" w:hAnsiTheme="minorHAnsi"/>
                <w:bCs/>
                <w:vertAlign w:val="superscript"/>
              </w:rPr>
              <w:t>st</w:t>
            </w:r>
            <w:r w:rsidRPr="00D13D4E">
              <w:rPr>
                <w:rFonts w:asciiTheme="minorHAnsi" w:hAnsiTheme="minorHAnsi"/>
                <w:bCs/>
              </w:rPr>
              <w:t xml:space="preserve"> draft of e-HR as-is and to-be processes. </w:t>
            </w:r>
            <w:r w:rsidR="00CB4B22" w:rsidRPr="00D13D4E">
              <w:rPr>
                <w:rFonts w:asciiTheme="minorHAnsi" w:hAnsiTheme="minorHAnsi"/>
                <w:bCs/>
              </w:rPr>
              <w:t xml:space="preserve"> F</w:t>
            </w:r>
            <w:r w:rsidRPr="00D13D4E">
              <w:rPr>
                <w:rFonts w:asciiTheme="minorHAnsi" w:hAnsiTheme="minorHAnsi"/>
                <w:bCs/>
              </w:rPr>
              <w:t xml:space="preserve">ollowing the meeting, an updated version was submitted during last half of May, </w:t>
            </w:r>
            <w:r w:rsidR="00CB4B22" w:rsidRPr="00D13D4E">
              <w:rPr>
                <w:rFonts w:asciiTheme="minorHAnsi" w:hAnsiTheme="minorHAnsi"/>
                <w:bCs/>
              </w:rPr>
              <w:t xml:space="preserve">and </w:t>
            </w:r>
            <w:r w:rsidRPr="00D13D4E">
              <w:rPr>
                <w:rFonts w:asciiTheme="minorHAnsi" w:hAnsiTheme="minorHAnsi"/>
                <w:bCs/>
              </w:rPr>
              <w:t xml:space="preserve">another workshop </w:t>
            </w:r>
            <w:r w:rsidR="00CB4B22" w:rsidRPr="00D13D4E">
              <w:rPr>
                <w:rFonts w:asciiTheme="minorHAnsi" w:hAnsiTheme="minorHAnsi"/>
                <w:bCs/>
              </w:rPr>
              <w:t xml:space="preserve">was planned </w:t>
            </w:r>
            <w:r w:rsidRPr="00D13D4E">
              <w:rPr>
                <w:rFonts w:asciiTheme="minorHAnsi" w:hAnsiTheme="minorHAnsi"/>
                <w:bCs/>
              </w:rPr>
              <w:t xml:space="preserve">to settle the requirement </w:t>
            </w:r>
            <w:r w:rsidRPr="00D13D4E">
              <w:rPr>
                <w:rFonts w:asciiTheme="minorHAnsi" w:hAnsiTheme="minorHAnsi"/>
                <w:bCs/>
              </w:rPr>
              <w:lastRenderedPageBreak/>
              <w:t>of National e-HR.</w:t>
            </w:r>
            <w:r w:rsidR="00CB4B22" w:rsidRPr="00D13D4E">
              <w:rPr>
                <w:rFonts w:asciiTheme="minorHAnsi" w:hAnsiTheme="minorHAnsi"/>
                <w:bCs/>
              </w:rPr>
              <w:t xml:space="preserve"> </w:t>
            </w:r>
            <w:r w:rsidRPr="00D13D4E">
              <w:rPr>
                <w:rFonts w:asciiTheme="minorHAnsi" w:hAnsiTheme="minorHAnsi"/>
                <w:bCs/>
              </w:rPr>
              <w:t xml:space="preserve"> Co</w:t>
            </w:r>
            <w:r w:rsidR="00CB4B22" w:rsidRPr="00D13D4E">
              <w:rPr>
                <w:rFonts w:asciiTheme="minorHAnsi" w:hAnsiTheme="minorHAnsi"/>
                <w:bCs/>
              </w:rPr>
              <w:t>M</w:t>
            </w:r>
            <w:r w:rsidRPr="00D13D4E">
              <w:rPr>
                <w:rFonts w:asciiTheme="minorHAnsi" w:hAnsiTheme="minorHAnsi"/>
                <w:bCs/>
              </w:rPr>
              <w:t>SEC is expected to provide final feedback during August 2015 to proceed with next steps on work implementation of the e-HR system.</w:t>
            </w:r>
          </w:p>
          <w:p w:rsidR="00FA6444" w:rsidRPr="00D13D4E" w:rsidRDefault="00FA6444" w:rsidP="00D17B38">
            <w:pPr>
              <w:pStyle w:val="ListParagraph"/>
              <w:numPr>
                <w:ilvl w:val="0"/>
                <w:numId w:val="10"/>
              </w:numPr>
              <w:ind w:left="967" w:hanging="270"/>
              <w:jc w:val="both"/>
              <w:rPr>
                <w:rFonts w:asciiTheme="minorHAnsi" w:hAnsiTheme="minorHAnsi"/>
                <w:bCs/>
              </w:rPr>
            </w:pPr>
            <w:r w:rsidRPr="00D13D4E">
              <w:rPr>
                <w:rFonts w:asciiTheme="minorHAnsi" w:hAnsiTheme="minorHAnsi"/>
                <w:bCs/>
              </w:rPr>
              <w:t xml:space="preserve">A </w:t>
            </w:r>
            <w:r w:rsidR="00CB4B22" w:rsidRPr="00D13D4E">
              <w:rPr>
                <w:rFonts w:asciiTheme="minorHAnsi" w:hAnsiTheme="minorHAnsi"/>
                <w:bCs/>
              </w:rPr>
              <w:t xml:space="preserve">comprehensive </w:t>
            </w:r>
            <w:r w:rsidRPr="00D13D4E">
              <w:rPr>
                <w:rFonts w:asciiTheme="minorHAnsi" w:hAnsiTheme="minorHAnsi"/>
                <w:bCs/>
              </w:rPr>
              <w:t xml:space="preserve">discussion also </w:t>
            </w:r>
            <w:r w:rsidR="00CB4B22" w:rsidRPr="00D13D4E">
              <w:rPr>
                <w:rFonts w:asciiTheme="minorHAnsi" w:hAnsiTheme="minorHAnsi"/>
                <w:bCs/>
              </w:rPr>
              <w:t xml:space="preserve">took place </w:t>
            </w:r>
            <w:r w:rsidRPr="00D13D4E">
              <w:rPr>
                <w:rFonts w:asciiTheme="minorHAnsi" w:hAnsiTheme="minorHAnsi"/>
                <w:bCs/>
              </w:rPr>
              <w:t>on the e-Procurement concept note submitted earlier to MoP on e</w:t>
            </w:r>
            <w:r w:rsidRPr="00D13D4E">
              <w:rPr>
                <w:rFonts w:asciiTheme="minorHAnsi" w:hAnsiTheme="minorHAnsi"/>
                <w:bCs/>
              </w:rPr>
              <w:noBreakHyphen/>
              <w:t>Procurement development and implementation phases</w:t>
            </w:r>
            <w:r w:rsidR="00CB4B22" w:rsidRPr="00D13D4E">
              <w:rPr>
                <w:rFonts w:asciiTheme="minorHAnsi" w:hAnsiTheme="minorHAnsi"/>
                <w:bCs/>
              </w:rPr>
              <w:t xml:space="preserve">.  An </w:t>
            </w:r>
            <w:r w:rsidRPr="00D13D4E">
              <w:rPr>
                <w:rFonts w:asciiTheme="minorHAnsi" w:hAnsiTheme="minorHAnsi"/>
                <w:bCs/>
              </w:rPr>
              <w:t xml:space="preserve">agreement was </w:t>
            </w:r>
            <w:r w:rsidR="00CB4B22" w:rsidRPr="00D13D4E">
              <w:rPr>
                <w:rFonts w:asciiTheme="minorHAnsi" w:hAnsiTheme="minorHAnsi"/>
                <w:bCs/>
              </w:rPr>
              <w:t xml:space="preserve">reached </w:t>
            </w:r>
            <w:r w:rsidRPr="00D13D4E">
              <w:rPr>
                <w:rFonts w:asciiTheme="minorHAnsi" w:hAnsiTheme="minorHAnsi"/>
                <w:bCs/>
              </w:rPr>
              <w:t>on the 1</w:t>
            </w:r>
            <w:r w:rsidR="0028066C" w:rsidRPr="00D13D4E">
              <w:rPr>
                <w:rFonts w:asciiTheme="minorHAnsi" w:hAnsiTheme="minorHAnsi"/>
                <w:bCs/>
                <w:vertAlign w:val="superscript"/>
              </w:rPr>
              <w:t>st</w:t>
            </w:r>
            <w:r w:rsidR="0028066C" w:rsidRPr="00D13D4E">
              <w:rPr>
                <w:rFonts w:asciiTheme="minorHAnsi" w:hAnsiTheme="minorHAnsi"/>
                <w:bCs/>
              </w:rPr>
              <w:t xml:space="preserve"> </w:t>
            </w:r>
            <w:r w:rsidRPr="00D13D4E">
              <w:rPr>
                <w:rFonts w:asciiTheme="minorHAnsi" w:hAnsiTheme="minorHAnsi"/>
                <w:bCs/>
              </w:rPr>
              <w:t>implementation phase of the system requested the support on identifying the technical specification</w:t>
            </w:r>
            <w:r w:rsidR="0028066C" w:rsidRPr="00D13D4E">
              <w:rPr>
                <w:rFonts w:asciiTheme="minorHAnsi" w:hAnsiTheme="minorHAnsi"/>
                <w:bCs/>
              </w:rPr>
              <w:t>s</w:t>
            </w:r>
            <w:r w:rsidRPr="00D13D4E">
              <w:rPr>
                <w:rFonts w:asciiTheme="minorHAnsi" w:hAnsiTheme="minorHAnsi"/>
                <w:bCs/>
              </w:rPr>
              <w:t xml:space="preserve"> of the 1st phase, as well as proceed in providing the technical support and coordinate the efforts with the available international best practices for system further development phases.</w:t>
            </w:r>
          </w:p>
          <w:p w:rsidR="00FA6444" w:rsidRPr="00D13D4E" w:rsidRDefault="00FA6444" w:rsidP="0074355F">
            <w:pPr>
              <w:ind w:left="596"/>
              <w:jc w:val="both"/>
              <w:rPr>
                <w:rFonts w:asciiTheme="minorHAnsi" w:hAnsiTheme="minorHAnsi"/>
                <w:bCs/>
                <w:szCs w:val="22"/>
              </w:rPr>
            </w:pPr>
          </w:p>
          <w:p w:rsidR="00FA6444" w:rsidRPr="00D13D4E" w:rsidRDefault="00FA6444" w:rsidP="00D17B38">
            <w:pPr>
              <w:pStyle w:val="NormalWeb"/>
              <w:numPr>
                <w:ilvl w:val="0"/>
                <w:numId w:val="6"/>
              </w:numPr>
              <w:spacing w:after="0" w:line="240" w:lineRule="auto"/>
              <w:ind w:hanging="293"/>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 xml:space="preserve">e-Readiness transformation survey </w:t>
            </w:r>
          </w:p>
          <w:p w:rsidR="00FA6444" w:rsidRPr="00D13D4E" w:rsidRDefault="00567CFF" w:rsidP="004424A7">
            <w:pPr>
              <w:ind w:left="697"/>
              <w:jc w:val="both"/>
              <w:rPr>
                <w:rFonts w:asciiTheme="minorHAnsi" w:hAnsiTheme="minorHAnsi"/>
                <w:bCs/>
                <w:szCs w:val="22"/>
              </w:rPr>
            </w:pPr>
            <w:r w:rsidRPr="00D13D4E">
              <w:rPr>
                <w:rFonts w:asciiTheme="minorHAnsi" w:hAnsiTheme="minorHAnsi"/>
                <w:bCs/>
                <w:szCs w:val="22"/>
              </w:rPr>
              <w:t>O</w:t>
            </w:r>
            <w:r w:rsidR="00FA6444" w:rsidRPr="00D13D4E">
              <w:rPr>
                <w:rFonts w:asciiTheme="minorHAnsi" w:hAnsiTheme="minorHAnsi"/>
                <w:bCs/>
                <w:szCs w:val="22"/>
              </w:rPr>
              <w:t>ne</w:t>
            </w:r>
            <w:r w:rsidR="004424A7" w:rsidRPr="00D13D4E">
              <w:rPr>
                <w:rFonts w:asciiTheme="minorHAnsi" w:hAnsiTheme="minorHAnsi"/>
                <w:bCs/>
                <w:szCs w:val="22"/>
              </w:rPr>
              <w:t>-</w:t>
            </w:r>
            <w:r w:rsidR="00FA6444" w:rsidRPr="00D13D4E">
              <w:rPr>
                <w:rFonts w:asciiTheme="minorHAnsi" w:hAnsiTheme="minorHAnsi"/>
                <w:bCs/>
                <w:szCs w:val="22"/>
              </w:rPr>
              <w:t xml:space="preserve">day meeting was conducted with representatives of National e-Governance </w:t>
            </w:r>
            <w:r w:rsidR="005A0E07" w:rsidRPr="00D13D4E">
              <w:rPr>
                <w:rFonts w:asciiTheme="minorHAnsi" w:hAnsiTheme="minorHAnsi"/>
                <w:bCs/>
                <w:szCs w:val="22"/>
              </w:rPr>
              <w:t>S</w:t>
            </w:r>
            <w:r w:rsidR="00FA6444" w:rsidRPr="00D13D4E">
              <w:rPr>
                <w:rFonts w:asciiTheme="minorHAnsi" w:hAnsiTheme="minorHAnsi"/>
                <w:bCs/>
                <w:szCs w:val="22"/>
              </w:rPr>
              <w:t xml:space="preserve">teering </w:t>
            </w:r>
            <w:r w:rsidR="005A0E07" w:rsidRPr="00D13D4E">
              <w:rPr>
                <w:rFonts w:asciiTheme="minorHAnsi" w:hAnsiTheme="minorHAnsi"/>
                <w:bCs/>
                <w:szCs w:val="22"/>
              </w:rPr>
              <w:t>C</w:t>
            </w:r>
            <w:r w:rsidR="00FA6444" w:rsidRPr="00D13D4E">
              <w:rPr>
                <w:rFonts w:asciiTheme="minorHAnsi" w:hAnsiTheme="minorHAnsi"/>
                <w:bCs/>
                <w:szCs w:val="22"/>
              </w:rPr>
              <w:t xml:space="preserve">ommittee and </w:t>
            </w:r>
            <w:r w:rsidR="004424A7" w:rsidRPr="00D13D4E">
              <w:rPr>
                <w:rFonts w:asciiTheme="minorHAnsi" w:hAnsiTheme="minorHAnsi"/>
                <w:bCs/>
                <w:szCs w:val="22"/>
              </w:rPr>
              <w:t>S</w:t>
            </w:r>
            <w:r w:rsidR="00FA6444" w:rsidRPr="00D13D4E">
              <w:rPr>
                <w:rFonts w:asciiTheme="minorHAnsi" w:hAnsiTheme="minorHAnsi"/>
                <w:bCs/>
                <w:szCs w:val="22"/>
              </w:rPr>
              <w:t xml:space="preserve">teering </w:t>
            </w:r>
            <w:r w:rsidR="004424A7" w:rsidRPr="00D13D4E">
              <w:rPr>
                <w:rFonts w:asciiTheme="minorHAnsi" w:hAnsiTheme="minorHAnsi"/>
                <w:bCs/>
                <w:szCs w:val="22"/>
              </w:rPr>
              <w:t>C</w:t>
            </w:r>
            <w:r w:rsidR="00FA6444" w:rsidRPr="00D13D4E">
              <w:rPr>
                <w:rFonts w:asciiTheme="minorHAnsi" w:hAnsiTheme="minorHAnsi"/>
                <w:bCs/>
                <w:szCs w:val="22"/>
              </w:rPr>
              <w:t xml:space="preserve">ommittee of the e-readiness survey to discuss and finalise the framework survey, that need to be submitted to various public organisations in order to specify the list of organisation for conducting the detailed survey. Accordingly, the questionnaire was finalized. </w:t>
            </w:r>
          </w:p>
          <w:p w:rsidR="00FA6444" w:rsidRPr="00D13D4E" w:rsidRDefault="00FA6444" w:rsidP="0074355F">
            <w:pPr>
              <w:spacing w:before="40" w:after="40"/>
              <w:ind w:left="162"/>
              <w:rPr>
                <w:rFonts w:asciiTheme="minorHAnsi" w:hAnsiTheme="minorHAnsi"/>
                <w:bCs/>
                <w:szCs w:val="22"/>
              </w:rPr>
            </w:pPr>
          </w:p>
          <w:p w:rsidR="00FA6444" w:rsidRPr="00D13D4E" w:rsidRDefault="00FA6444" w:rsidP="00D17B38">
            <w:pPr>
              <w:pStyle w:val="ListParagraph"/>
              <w:numPr>
                <w:ilvl w:val="0"/>
                <w:numId w:val="5"/>
              </w:numPr>
              <w:spacing w:after="120" w:line="240" w:lineRule="auto"/>
              <w:ind w:left="432" w:hanging="274"/>
              <w:rPr>
                <w:b/>
              </w:rPr>
            </w:pPr>
            <w:r w:rsidRPr="00D13D4E">
              <w:rPr>
                <w:b/>
              </w:rPr>
              <w:t>IDMS</w:t>
            </w:r>
          </w:p>
          <w:p w:rsidR="00FA6444" w:rsidRPr="00D13D4E" w:rsidRDefault="00FA6444" w:rsidP="00532222">
            <w:pPr>
              <w:spacing w:before="40" w:after="40"/>
              <w:ind w:left="427"/>
              <w:rPr>
                <w:rFonts w:asciiTheme="minorHAnsi" w:hAnsiTheme="minorHAnsi"/>
                <w:bCs/>
              </w:rPr>
            </w:pPr>
            <w:r w:rsidRPr="00D13D4E">
              <w:rPr>
                <w:rFonts w:asciiTheme="minorHAnsi" w:hAnsiTheme="minorHAnsi"/>
                <w:bCs/>
              </w:rPr>
              <w:t xml:space="preserve">Three training </w:t>
            </w:r>
            <w:r w:rsidR="00532222" w:rsidRPr="00D13D4E">
              <w:rPr>
                <w:rFonts w:asciiTheme="minorHAnsi" w:hAnsiTheme="minorHAnsi"/>
                <w:bCs/>
              </w:rPr>
              <w:t>workshops</w:t>
            </w:r>
            <w:r w:rsidRPr="00D13D4E">
              <w:rPr>
                <w:rFonts w:asciiTheme="minorHAnsi" w:hAnsiTheme="minorHAnsi"/>
                <w:bCs/>
              </w:rPr>
              <w:t xml:space="preserve"> were conducted in Armenia on “Advanced Technical Training on the Use and Operation of Iraq Development Management System” (IDMS)</w:t>
            </w:r>
            <w:r w:rsidR="00532222" w:rsidRPr="00D13D4E">
              <w:rPr>
                <w:rFonts w:asciiTheme="minorHAnsi" w:hAnsiTheme="minorHAnsi"/>
                <w:bCs/>
              </w:rPr>
              <w:t xml:space="preserve">.  The workshops </w:t>
            </w:r>
            <w:r w:rsidRPr="00D13D4E">
              <w:rPr>
                <w:rFonts w:asciiTheme="minorHAnsi" w:hAnsiTheme="minorHAnsi"/>
                <w:bCs/>
              </w:rPr>
              <w:t xml:space="preserve">were conducted </w:t>
            </w:r>
            <w:r w:rsidR="00532222" w:rsidRPr="00D13D4E">
              <w:rPr>
                <w:rFonts w:asciiTheme="minorHAnsi" w:hAnsiTheme="minorHAnsi"/>
                <w:bCs/>
              </w:rPr>
              <w:t xml:space="preserve">at the request of the </w:t>
            </w:r>
            <w:r w:rsidRPr="00D13D4E">
              <w:rPr>
                <w:rFonts w:asciiTheme="minorHAnsi" w:hAnsiTheme="minorHAnsi"/>
                <w:bCs/>
              </w:rPr>
              <w:t xml:space="preserve">Ministry of </w:t>
            </w:r>
            <w:r w:rsidR="00532222" w:rsidRPr="00D13D4E">
              <w:rPr>
                <w:rFonts w:asciiTheme="minorHAnsi" w:hAnsiTheme="minorHAnsi"/>
                <w:bCs/>
              </w:rPr>
              <w:t xml:space="preserve">Planning. </w:t>
            </w:r>
            <w:r w:rsidRPr="00D13D4E">
              <w:rPr>
                <w:rFonts w:asciiTheme="minorHAnsi" w:hAnsiTheme="minorHAnsi"/>
                <w:bCs/>
              </w:rPr>
              <w:t xml:space="preserve">These </w:t>
            </w:r>
            <w:r w:rsidR="00532222" w:rsidRPr="00D13D4E">
              <w:rPr>
                <w:rFonts w:asciiTheme="minorHAnsi" w:hAnsiTheme="minorHAnsi"/>
                <w:bCs/>
              </w:rPr>
              <w:t>workshops</w:t>
            </w:r>
            <w:r w:rsidRPr="00D13D4E">
              <w:rPr>
                <w:rFonts w:asciiTheme="minorHAnsi" w:hAnsiTheme="minorHAnsi"/>
                <w:bCs/>
              </w:rPr>
              <w:t xml:space="preserve"> aimed at </w:t>
            </w:r>
            <w:r w:rsidR="00532222" w:rsidRPr="00D13D4E">
              <w:rPr>
                <w:rFonts w:asciiTheme="minorHAnsi" w:hAnsiTheme="minorHAnsi"/>
                <w:bCs/>
              </w:rPr>
              <w:t xml:space="preserve">further </w:t>
            </w:r>
            <w:r w:rsidRPr="00D13D4E">
              <w:rPr>
                <w:rFonts w:asciiTheme="minorHAnsi" w:hAnsiTheme="minorHAnsi"/>
                <w:bCs/>
              </w:rPr>
              <w:t>developing the capacity of G</w:t>
            </w:r>
            <w:r w:rsidR="00532222" w:rsidRPr="00D13D4E">
              <w:rPr>
                <w:rFonts w:asciiTheme="minorHAnsi" w:hAnsiTheme="minorHAnsi"/>
                <w:bCs/>
              </w:rPr>
              <w:t>o</w:t>
            </w:r>
            <w:r w:rsidRPr="00D13D4E">
              <w:rPr>
                <w:rFonts w:asciiTheme="minorHAnsi" w:hAnsiTheme="minorHAnsi"/>
                <w:bCs/>
              </w:rPr>
              <w:t xml:space="preserve">I officials to ensure sustainable operations of IDMS. </w:t>
            </w:r>
            <w:r w:rsidR="00532222" w:rsidRPr="00D13D4E">
              <w:rPr>
                <w:rFonts w:asciiTheme="minorHAnsi" w:hAnsiTheme="minorHAnsi"/>
                <w:bCs/>
              </w:rPr>
              <w:t xml:space="preserve"> </w:t>
            </w:r>
            <w:r w:rsidRPr="00D13D4E">
              <w:rPr>
                <w:rFonts w:asciiTheme="minorHAnsi" w:hAnsiTheme="minorHAnsi"/>
                <w:bCs/>
              </w:rPr>
              <w:t xml:space="preserve">The three </w:t>
            </w:r>
            <w:r w:rsidR="00532222" w:rsidRPr="00D13D4E">
              <w:rPr>
                <w:rFonts w:asciiTheme="minorHAnsi" w:hAnsiTheme="minorHAnsi"/>
                <w:bCs/>
              </w:rPr>
              <w:t>workshops</w:t>
            </w:r>
            <w:r w:rsidRPr="00D13D4E">
              <w:rPr>
                <w:rFonts w:asciiTheme="minorHAnsi" w:hAnsiTheme="minorHAnsi"/>
                <w:bCs/>
              </w:rPr>
              <w:t xml:space="preserve"> were held in Synergy’s Armenian branch office, started on Friday March 27, 2015, and ended on Wednesday April 15, 2015.</w:t>
            </w:r>
          </w:p>
          <w:p w:rsidR="00561A00" w:rsidRPr="00D13D4E" w:rsidRDefault="00FA6444" w:rsidP="00D17B38">
            <w:pPr>
              <w:pStyle w:val="ListParagraph"/>
              <w:numPr>
                <w:ilvl w:val="0"/>
                <w:numId w:val="7"/>
              </w:numPr>
              <w:autoSpaceDE w:val="0"/>
              <w:autoSpaceDN w:val="0"/>
              <w:adjustRightInd w:val="0"/>
              <w:ind w:left="697" w:hanging="270"/>
              <w:rPr>
                <w:rFonts w:asciiTheme="minorHAnsi" w:hAnsiTheme="minorHAnsi"/>
                <w:bCs/>
              </w:rPr>
            </w:pPr>
            <w:r w:rsidRPr="00D13D4E">
              <w:rPr>
                <w:rFonts w:asciiTheme="minorHAnsi" w:hAnsiTheme="minorHAnsi"/>
                <w:bCs/>
              </w:rPr>
              <w:t xml:space="preserve">The </w:t>
            </w:r>
            <w:r w:rsidRPr="00D13D4E">
              <w:rPr>
                <w:rFonts w:asciiTheme="minorHAnsi" w:hAnsiTheme="minorHAnsi"/>
                <w:b/>
              </w:rPr>
              <w:t>first training course</w:t>
            </w:r>
            <w:r w:rsidRPr="00D13D4E">
              <w:rPr>
                <w:rFonts w:asciiTheme="minorHAnsi" w:hAnsiTheme="minorHAnsi"/>
                <w:bCs/>
              </w:rPr>
              <w:t xml:space="preserve"> named </w:t>
            </w:r>
            <w:r w:rsidRPr="00D13D4E">
              <w:rPr>
                <w:rFonts w:asciiTheme="minorHAnsi" w:hAnsiTheme="minorHAnsi"/>
                <w:b/>
              </w:rPr>
              <w:t>“Oracle administration for IDMS database”</w:t>
            </w:r>
            <w:r w:rsidRPr="00D13D4E">
              <w:rPr>
                <w:rFonts w:asciiTheme="minorHAnsi" w:hAnsiTheme="minorHAnsi"/>
                <w:bCs/>
              </w:rPr>
              <w:t xml:space="preserve"> aimed to build MoP staff capacities in working with IDMS Oracle database in practical aspects of IDMS operations, including installation, troubleshooting, backup and maintenance. The participants also learned and reinforced their knowledge in data import/export from IDMS database and managing database fields. During this phase, the trainees participated in creating the necessary environment on their local machines to install both the application and the database servers and learned of the foundations of all the technologies used in this process (Apache Tomcat, Firewall, Apache Jakarta, IIS, Oracle Database/instance and Synergy’s KBB, Knowledge-Base-Builder)</w:t>
            </w:r>
          </w:p>
          <w:p w:rsidR="00561A00" w:rsidRPr="00D13D4E" w:rsidRDefault="00FA6444" w:rsidP="00D17B38">
            <w:pPr>
              <w:pStyle w:val="ListParagraph"/>
              <w:numPr>
                <w:ilvl w:val="0"/>
                <w:numId w:val="7"/>
              </w:numPr>
              <w:autoSpaceDE w:val="0"/>
              <w:autoSpaceDN w:val="0"/>
              <w:adjustRightInd w:val="0"/>
              <w:ind w:left="697" w:hanging="270"/>
              <w:rPr>
                <w:rFonts w:asciiTheme="minorHAnsi" w:hAnsiTheme="minorHAnsi"/>
                <w:bCs/>
              </w:rPr>
            </w:pPr>
            <w:r w:rsidRPr="00D13D4E">
              <w:rPr>
                <w:rFonts w:asciiTheme="minorHAnsi" w:hAnsiTheme="minorHAnsi"/>
                <w:bCs/>
              </w:rPr>
              <w:t xml:space="preserve">The </w:t>
            </w:r>
            <w:r w:rsidRPr="00D13D4E">
              <w:rPr>
                <w:rFonts w:asciiTheme="minorHAnsi" w:hAnsiTheme="minorHAnsi"/>
                <w:b/>
              </w:rPr>
              <w:t>second training course</w:t>
            </w:r>
            <w:r w:rsidRPr="00D13D4E">
              <w:rPr>
                <w:rFonts w:asciiTheme="minorHAnsi" w:hAnsiTheme="minorHAnsi"/>
                <w:bCs/>
              </w:rPr>
              <w:t xml:space="preserve"> named “</w:t>
            </w:r>
            <w:r w:rsidRPr="00D13D4E">
              <w:rPr>
                <w:rFonts w:asciiTheme="minorHAnsi" w:hAnsiTheme="minorHAnsi"/>
                <w:b/>
              </w:rPr>
              <w:t>Capital Investment Projects Life Cycle in IDMS”</w:t>
            </w:r>
            <w:r w:rsidRPr="00D13D4E">
              <w:rPr>
                <w:rFonts w:asciiTheme="minorHAnsi" w:hAnsiTheme="minorHAnsi"/>
                <w:bCs/>
              </w:rPr>
              <w:t xml:space="preserve"> aimed to build capacities of staff responsible for project creation and entry into IDMS and facilitated participants’ understanding of the project life cycle in IDMS and project data model. It provided essential knowledge on creation of projects, updating information and entering data at different phases of the project business process. The course focused also on complex functionalities developed for reallocation of project funds and the various aspects of the logic embedded for these</w:t>
            </w:r>
            <w:r w:rsidRPr="00D13D4E">
              <w:rPr>
                <w:rFonts w:asciiTheme="minorHAnsi" w:hAnsiTheme="minorHAnsi" w:cs="Cambria"/>
                <w:lang w:val="en-US"/>
              </w:rPr>
              <w:t xml:space="preserve"> functionalities, depending on fund source, project type and its workflow status. During this week’s hands on training, the trainees examined and experienced the Capital Investment project life cycle and functionalities fully. </w:t>
            </w:r>
          </w:p>
          <w:p w:rsidR="00FA6444" w:rsidRPr="00D13D4E" w:rsidRDefault="00FA6444" w:rsidP="00D17B38">
            <w:pPr>
              <w:pStyle w:val="ListParagraph"/>
              <w:numPr>
                <w:ilvl w:val="0"/>
                <w:numId w:val="7"/>
              </w:numPr>
              <w:autoSpaceDE w:val="0"/>
              <w:autoSpaceDN w:val="0"/>
              <w:adjustRightInd w:val="0"/>
              <w:ind w:left="697" w:hanging="270"/>
              <w:rPr>
                <w:rFonts w:asciiTheme="minorHAnsi" w:hAnsiTheme="minorHAnsi"/>
                <w:bCs/>
              </w:rPr>
            </w:pPr>
            <w:r w:rsidRPr="00D13D4E">
              <w:rPr>
                <w:rFonts w:asciiTheme="minorHAnsi" w:hAnsiTheme="minorHAnsi" w:cs="Cambria"/>
                <w:lang w:val="en-US"/>
              </w:rPr>
              <w:t xml:space="preserve">The </w:t>
            </w:r>
            <w:r w:rsidRPr="00D13D4E">
              <w:rPr>
                <w:rFonts w:asciiTheme="minorHAnsi" w:hAnsiTheme="minorHAnsi" w:cs="Cambria"/>
                <w:b/>
                <w:bCs/>
                <w:lang w:val="en-US"/>
              </w:rPr>
              <w:t>third training course</w:t>
            </w:r>
            <w:r w:rsidRPr="00D13D4E">
              <w:rPr>
                <w:rFonts w:asciiTheme="minorHAnsi" w:hAnsiTheme="minorHAnsi" w:cs="Cambria"/>
                <w:lang w:val="en-US"/>
              </w:rPr>
              <w:t xml:space="preserve"> named “</w:t>
            </w:r>
            <w:r w:rsidRPr="00D13D4E">
              <w:rPr>
                <w:rFonts w:asciiTheme="minorHAnsi" w:hAnsiTheme="minorHAnsi" w:cs="Cambria"/>
                <w:b/>
                <w:bCs/>
                <w:lang w:val="en-US"/>
              </w:rPr>
              <w:t>Financial Management and Reporting”</w:t>
            </w:r>
            <w:r w:rsidRPr="00D13D4E">
              <w:rPr>
                <w:rFonts w:asciiTheme="minorHAnsi" w:hAnsiTheme="minorHAnsi" w:cs="Cambria"/>
                <w:lang w:val="en-US"/>
              </w:rPr>
              <w:t xml:space="preserve"> built MoP staff capacities for financial management of capital investment plans, with a focus on distributing annual allocations to projects; developing financial reports of cumulative and annual expenditures; and monitoring capital investment budgets of regional bodies and contractors using IDMS. The course has also </w:t>
            </w:r>
            <w:r w:rsidRPr="00D13D4E">
              <w:rPr>
                <w:rFonts w:asciiTheme="minorHAnsi" w:hAnsiTheme="minorHAnsi" w:cs="Cambria"/>
                <w:lang w:val="en-US"/>
              </w:rPr>
              <w:lastRenderedPageBreak/>
              <w:t>focused on new highly advanced reporting tools, using the complex expression builder to allow for creation user specific measures by the users themselves. The trainees examined and experienced the Capital Investment Projects financial data behavior and received the information needed on how the budget is monitored through IDMS</w:t>
            </w:r>
          </w:p>
          <w:p w:rsidR="00FA6444" w:rsidRPr="00D13D4E" w:rsidRDefault="00FA6444" w:rsidP="00561A00">
            <w:pPr>
              <w:spacing w:before="40" w:after="40"/>
              <w:ind w:left="427"/>
              <w:rPr>
                <w:rFonts w:asciiTheme="minorHAnsi" w:hAnsiTheme="minorHAnsi"/>
                <w:bCs/>
              </w:rPr>
            </w:pPr>
            <w:r w:rsidRPr="00D13D4E">
              <w:rPr>
                <w:rFonts w:asciiTheme="minorHAnsi" w:hAnsiTheme="minorHAnsi"/>
                <w:bCs/>
              </w:rPr>
              <w:t>At the end of each training course MOP trainees, UNDP officials and Synergy’s trainers voiced their satisfaction of the positive environment in which the trainings were conducted. It should be noted that although all the participants were willing and very eager to learn and adapt to the system, there was a gap of knowledge between the trainees. Some were acquainted with IDMS and had the required knowledge, but some were not aware of the system and did not possess the necessary background. Both the trainees and the trainers believe that knowledge sharing between the participants should have been organized prior to trainings.</w:t>
            </w:r>
          </w:p>
          <w:p w:rsidR="00FA6444" w:rsidRPr="00D13D4E" w:rsidRDefault="00121527" w:rsidP="00121527">
            <w:pPr>
              <w:tabs>
                <w:tab w:val="left" w:pos="1290"/>
              </w:tabs>
              <w:spacing w:before="40" w:after="40"/>
              <w:ind w:left="162"/>
              <w:rPr>
                <w:rFonts w:asciiTheme="minorHAnsi" w:hAnsiTheme="minorHAnsi"/>
                <w:bCs/>
                <w:szCs w:val="22"/>
              </w:rPr>
            </w:pPr>
            <w:r w:rsidRPr="00D13D4E">
              <w:rPr>
                <w:rFonts w:asciiTheme="minorHAnsi" w:hAnsiTheme="minorHAnsi"/>
                <w:bCs/>
                <w:szCs w:val="22"/>
              </w:rPr>
              <w:tab/>
            </w:r>
          </w:p>
          <w:p w:rsidR="00FA6444" w:rsidRPr="00D13D4E" w:rsidRDefault="00FA6444" w:rsidP="00D17B38">
            <w:pPr>
              <w:pStyle w:val="ListParagraph"/>
              <w:numPr>
                <w:ilvl w:val="0"/>
                <w:numId w:val="5"/>
              </w:numPr>
              <w:spacing w:after="120" w:line="240" w:lineRule="auto"/>
              <w:ind w:left="432" w:hanging="274"/>
              <w:rPr>
                <w:b/>
              </w:rPr>
            </w:pPr>
            <w:r w:rsidRPr="00D13D4E">
              <w:rPr>
                <w:b/>
              </w:rPr>
              <w:t xml:space="preserve">Senior Executive Service (SES) </w:t>
            </w:r>
          </w:p>
          <w:p w:rsidR="00FA6444" w:rsidRPr="00D13D4E" w:rsidRDefault="00FA6444"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 xml:space="preserve">After forming the “SES Higher Committee” by COMSEC to oversee the implementation of Senior Executive Service (SES) system, and similarly “SES Secretariat”, Canadian experts from the Institute on Governance (IoG) have conducted a field visit to Baghdad to receive final high-level approval to move forward with implementation of the SES pilot group. The mission concluded with the IOG briefing the Secretary General of the Council of Ministers Secretariat and the Deputy Prime Ministers (DPMs) on the SES. A go ahead and support to move forward on the SES was received. It was agreed that GoI shall identify 20 – 25 senior executives to participate in SES system that shall provide demanding learning and development opportunity on the leadership competencies to empower those executives as future leaders in their positions. The SES High Committee was aiming to conduct 1st class of SES very soon and for a period of six months, due to expectation of opening 6 senior positions at the Deputy Minister/Head of Commission level in the near future. The committee would like the training to be done in Iraq. </w:t>
            </w:r>
          </w:p>
          <w:p w:rsidR="006F26E4" w:rsidRPr="00D13D4E" w:rsidRDefault="00FA6444"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A new Request for Proposal (RFP) for “Launching and Implementing the Senior Executive Service (SES) Pilot Project for the Government of Iraq” was drafted and being revised for advertisement which is expected to put a new contractor in place after Eid Holiday to implement the roll out of the 1st class of SES.</w:t>
            </w:r>
          </w:p>
          <w:p w:rsidR="00713AED" w:rsidRPr="00D13D4E" w:rsidRDefault="00713AED" w:rsidP="00713AED">
            <w:pPr>
              <w:pStyle w:val="ListParagraph"/>
              <w:spacing w:before="40" w:after="40" w:line="240" w:lineRule="auto"/>
              <w:ind w:left="427"/>
              <w:rPr>
                <w:rFonts w:asciiTheme="minorHAnsi" w:hAnsiTheme="minorHAnsi"/>
                <w:bCs/>
              </w:rPr>
            </w:pPr>
          </w:p>
          <w:p w:rsidR="007D057D" w:rsidRPr="00D13D4E" w:rsidRDefault="00011394" w:rsidP="0074355F">
            <w:pPr>
              <w:spacing w:before="40" w:after="40"/>
              <w:ind w:left="162"/>
              <w:rPr>
                <w:rFonts w:asciiTheme="minorHAnsi" w:hAnsiTheme="minorHAnsi"/>
                <w:b/>
                <w:szCs w:val="22"/>
              </w:rPr>
            </w:pPr>
            <w:r w:rsidRPr="00D13D4E">
              <w:rPr>
                <w:rFonts w:asciiTheme="minorHAnsi" w:hAnsiTheme="minorHAnsi"/>
                <w:b/>
                <w:szCs w:val="22"/>
              </w:rPr>
              <w:t>UNESCWA</w:t>
            </w:r>
          </w:p>
          <w:p w:rsidR="000052CD" w:rsidRPr="00D13D4E" w:rsidRDefault="000052CD" w:rsidP="00D17B38">
            <w:pPr>
              <w:pStyle w:val="ListParagraph"/>
              <w:numPr>
                <w:ilvl w:val="0"/>
                <w:numId w:val="5"/>
              </w:numPr>
              <w:spacing w:after="120" w:line="240" w:lineRule="auto"/>
              <w:ind w:left="432" w:hanging="274"/>
              <w:rPr>
                <w:bCs/>
              </w:rPr>
            </w:pPr>
            <w:r w:rsidRPr="00D13D4E">
              <w:rPr>
                <w:bCs/>
              </w:rPr>
              <w:t xml:space="preserve">Istanbul </w:t>
            </w:r>
            <w:r w:rsidR="003B33D4" w:rsidRPr="00D13D4E">
              <w:rPr>
                <w:bCs/>
              </w:rPr>
              <w:t>w</w:t>
            </w:r>
            <w:r w:rsidRPr="00D13D4E">
              <w:rPr>
                <w:bCs/>
              </w:rPr>
              <w:t>orkshop was successful in bringing NCMDIT and KIPA participants together and developing their respective roadmaps for change management in support of the ongoing public sector reform initiatives.  In addition to the substantive knowledge on change management acquired, the workshop provided an opportunity for collaboration between the two institutes.  The outcomes of the workshop led to a follow up discussion with Dr. Ali Sindi, Minister of Planning, KRG, to reinvigorate the discussion of KPSM as well as implementation of the roadmap.  NCMDIT also decided to set up a committee to follow up on and implement the roadmap.  Furthermore, the Istanbul workshop helped fine tune and clarify the requirements by NCMDIT and KIPA for future seminars and capacity development activities until the end of the project implementation.  The report of the Istanbul workshop is being finalized and will be shared.</w:t>
            </w:r>
          </w:p>
          <w:p w:rsidR="000052CD" w:rsidRPr="00D13D4E" w:rsidRDefault="000052CD" w:rsidP="00D17B38">
            <w:pPr>
              <w:pStyle w:val="ListParagraph"/>
              <w:numPr>
                <w:ilvl w:val="0"/>
                <w:numId w:val="5"/>
              </w:numPr>
              <w:spacing w:after="120" w:line="240" w:lineRule="auto"/>
              <w:ind w:left="432" w:hanging="274"/>
              <w:rPr>
                <w:bCs/>
              </w:rPr>
            </w:pPr>
            <w:r w:rsidRPr="00D13D4E">
              <w:rPr>
                <w:bCs/>
              </w:rPr>
              <w:t>The needs assessment and the seminar feedback conducted for KIPA before and after the familiarization seminar on Knowledge Management illustrated the challenges and opportunities in promoting knowledge management at KIPA.</w:t>
            </w:r>
          </w:p>
          <w:p w:rsidR="000052CD" w:rsidRPr="00D13D4E" w:rsidRDefault="000052CD" w:rsidP="00D17B38">
            <w:pPr>
              <w:pStyle w:val="ListParagraph"/>
              <w:numPr>
                <w:ilvl w:val="0"/>
                <w:numId w:val="5"/>
              </w:numPr>
              <w:spacing w:after="120" w:line="240" w:lineRule="auto"/>
              <w:ind w:left="432" w:hanging="274"/>
              <w:rPr>
                <w:rFonts w:asciiTheme="minorHAnsi" w:hAnsiTheme="minorHAnsi"/>
                <w:bCs/>
                <w:lang w:val="en-US"/>
              </w:rPr>
            </w:pPr>
            <w:r w:rsidRPr="00D13D4E">
              <w:rPr>
                <w:bCs/>
              </w:rPr>
              <w:t>The report of the Knowledge Management seminar is being finalized</w:t>
            </w:r>
            <w:r w:rsidRPr="00D13D4E">
              <w:rPr>
                <w:rFonts w:asciiTheme="minorHAnsi" w:hAnsiTheme="minorHAnsi"/>
                <w:bCs/>
              </w:rPr>
              <w:t>.</w:t>
            </w:r>
          </w:p>
          <w:p w:rsidR="000052CD" w:rsidRPr="00D13D4E" w:rsidRDefault="000052CD" w:rsidP="0074355F">
            <w:pPr>
              <w:spacing w:before="40" w:after="40"/>
              <w:ind w:left="599"/>
              <w:rPr>
                <w:rFonts w:asciiTheme="minorHAnsi" w:hAnsiTheme="minorHAnsi"/>
                <w:szCs w:val="22"/>
                <w:lang w:val="en-US"/>
              </w:rPr>
            </w:pPr>
          </w:p>
          <w:p w:rsidR="00B36021" w:rsidRPr="00D13D4E" w:rsidRDefault="00B36021" w:rsidP="0074355F">
            <w:pPr>
              <w:spacing w:before="60" w:after="60"/>
              <w:ind w:left="149"/>
              <w:jc w:val="both"/>
              <w:rPr>
                <w:rFonts w:ascii="Calibri" w:hAnsi="Calibri"/>
                <w:b/>
                <w:bCs/>
                <w:szCs w:val="22"/>
                <w:lang w:eastAsia="en-IN" w:bidi="hi-IN"/>
              </w:rPr>
            </w:pPr>
            <w:r w:rsidRPr="00D13D4E">
              <w:rPr>
                <w:rFonts w:ascii="Calibri" w:hAnsi="Calibri"/>
                <w:b/>
                <w:bCs/>
                <w:szCs w:val="22"/>
                <w:lang w:eastAsia="en-IN" w:bidi="hi-IN"/>
              </w:rPr>
              <w:lastRenderedPageBreak/>
              <w:t>UNFPA</w:t>
            </w:r>
          </w:p>
          <w:p w:rsidR="006D04C1" w:rsidRPr="00D13D4E" w:rsidRDefault="004F5D91" w:rsidP="00D17B38">
            <w:pPr>
              <w:pStyle w:val="ListParagraph"/>
              <w:numPr>
                <w:ilvl w:val="0"/>
                <w:numId w:val="5"/>
              </w:numPr>
              <w:spacing w:after="120" w:line="240" w:lineRule="auto"/>
              <w:ind w:left="432" w:hanging="274"/>
              <w:rPr>
                <w:bCs/>
              </w:rPr>
            </w:pPr>
            <w:r w:rsidRPr="00D13D4E">
              <w:rPr>
                <w:bCs/>
              </w:rPr>
              <w:t xml:space="preserve">The internationally recruited company GOPA </w:t>
            </w:r>
            <w:r w:rsidR="00422856" w:rsidRPr="00D13D4E">
              <w:rPr>
                <w:bCs/>
              </w:rPr>
              <w:t>has</w:t>
            </w:r>
            <w:r w:rsidRPr="00D13D4E">
              <w:rPr>
                <w:bCs/>
              </w:rPr>
              <w:t xml:space="preserve"> conducted two missions to Iraq</w:t>
            </w:r>
            <w:r w:rsidR="00EA4FD9" w:rsidRPr="00D13D4E">
              <w:rPr>
                <w:bCs/>
              </w:rPr>
              <w:t xml:space="preserve"> </w:t>
            </w:r>
            <w:r w:rsidRPr="00D13D4E">
              <w:rPr>
                <w:bCs/>
              </w:rPr>
              <w:t>during the reporting period</w:t>
            </w:r>
            <w:r w:rsidR="00EA4FD9" w:rsidRPr="00D13D4E">
              <w:rPr>
                <w:bCs/>
              </w:rPr>
              <w:t>, as per the endorsed 2015 AWP)</w:t>
            </w:r>
            <w:r w:rsidRPr="00D13D4E">
              <w:rPr>
                <w:bCs/>
              </w:rPr>
              <w:t xml:space="preserve">.  The first mission targeted </w:t>
            </w:r>
            <w:r w:rsidR="00422856" w:rsidRPr="00D13D4E">
              <w:rPr>
                <w:bCs/>
              </w:rPr>
              <w:t>the Central Statistic</w:t>
            </w:r>
            <w:r w:rsidR="004D7E38" w:rsidRPr="00D13D4E">
              <w:rPr>
                <w:bCs/>
              </w:rPr>
              <w:t xml:space="preserve">al Organization </w:t>
            </w:r>
            <w:r w:rsidRPr="00D13D4E">
              <w:rPr>
                <w:bCs/>
              </w:rPr>
              <w:t xml:space="preserve">(CSO) </w:t>
            </w:r>
            <w:r w:rsidR="007644B4" w:rsidRPr="00D13D4E">
              <w:rPr>
                <w:bCs/>
              </w:rPr>
              <w:t>to develop data centre that meets the needs of statistical production and data dissemination</w:t>
            </w:r>
            <w:r w:rsidR="00422856" w:rsidRPr="00D13D4E">
              <w:rPr>
                <w:bCs/>
              </w:rPr>
              <w:t>, while the second one targeted Kurdistan</w:t>
            </w:r>
            <w:r w:rsidRPr="00D13D4E">
              <w:rPr>
                <w:bCs/>
              </w:rPr>
              <w:t xml:space="preserve"> Region</w:t>
            </w:r>
            <w:r w:rsidR="00EA4FD9" w:rsidRPr="00D13D4E">
              <w:rPr>
                <w:bCs/>
              </w:rPr>
              <w:t>al</w:t>
            </w:r>
            <w:r w:rsidRPr="00D13D4E">
              <w:rPr>
                <w:bCs/>
              </w:rPr>
              <w:t xml:space="preserve"> Statistical Office </w:t>
            </w:r>
            <w:r w:rsidR="00422856" w:rsidRPr="00D13D4E">
              <w:rPr>
                <w:bCs/>
              </w:rPr>
              <w:t>(</w:t>
            </w:r>
            <w:r w:rsidR="007644B4" w:rsidRPr="00D13D4E">
              <w:rPr>
                <w:bCs/>
              </w:rPr>
              <w:t>KRSO</w:t>
            </w:r>
            <w:r w:rsidR="00422856" w:rsidRPr="00D13D4E">
              <w:rPr>
                <w:bCs/>
              </w:rPr>
              <w:t>)</w:t>
            </w:r>
            <w:r w:rsidR="007644B4" w:rsidRPr="00D13D4E">
              <w:rPr>
                <w:bCs/>
              </w:rPr>
              <w:t xml:space="preserve"> in Erbil </w:t>
            </w:r>
            <w:r w:rsidR="00422856" w:rsidRPr="00D13D4E">
              <w:rPr>
                <w:bCs/>
              </w:rPr>
              <w:t xml:space="preserve">on </w:t>
            </w:r>
            <w:r w:rsidR="007644B4" w:rsidRPr="00D13D4E">
              <w:rPr>
                <w:bCs/>
              </w:rPr>
              <w:t>“</w:t>
            </w:r>
            <w:r w:rsidR="007644B4" w:rsidRPr="00D13D4E">
              <w:rPr>
                <w:bCs/>
                <w:i/>
                <w:iCs/>
              </w:rPr>
              <w:t>Dissemination</w:t>
            </w:r>
            <w:r w:rsidR="007644B4" w:rsidRPr="00D13D4E">
              <w:rPr>
                <w:bCs/>
              </w:rPr>
              <w:t>”</w:t>
            </w:r>
            <w:r w:rsidR="00130EB0" w:rsidRPr="00D13D4E">
              <w:rPr>
                <w:bCs/>
              </w:rPr>
              <w:t xml:space="preserve">.   </w:t>
            </w:r>
            <w:r w:rsidR="006D04C1" w:rsidRPr="00D13D4E">
              <w:rPr>
                <w:bCs/>
              </w:rPr>
              <w:t xml:space="preserve">However, and due the difficulties encountered in obtaining the Entry Visa to Baghdad for internationally recruited consultants, Baghdad missions will be held in Erbil instead.  As such a number of missions </w:t>
            </w:r>
            <w:r w:rsidR="00130EB0" w:rsidRPr="00D13D4E">
              <w:rPr>
                <w:bCs/>
              </w:rPr>
              <w:t xml:space="preserve">mostly on “Statistical Governance” </w:t>
            </w:r>
            <w:r w:rsidR="006D04C1" w:rsidRPr="00D13D4E">
              <w:rPr>
                <w:bCs/>
              </w:rPr>
              <w:t xml:space="preserve">targeting CSO in Baghdad will be cancelled and their fund will be used to cover the </w:t>
            </w:r>
            <w:r w:rsidR="00130EB0" w:rsidRPr="00D13D4E">
              <w:rPr>
                <w:bCs/>
              </w:rPr>
              <w:t>entailing cost of conducting Baghdad missions of CSO in Erbil</w:t>
            </w:r>
            <w:r w:rsidR="00E7600E" w:rsidRPr="00D13D4E">
              <w:rPr>
                <w:bCs/>
              </w:rPr>
              <w:t xml:space="preserve">.  </w:t>
            </w:r>
            <w:r w:rsidR="00130EB0" w:rsidRPr="00D13D4E">
              <w:rPr>
                <w:bCs/>
              </w:rPr>
              <w:t xml:space="preserve">  </w:t>
            </w:r>
          </w:p>
          <w:p w:rsidR="00EA3515" w:rsidRPr="00D13D4E" w:rsidRDefault="00E7600E" w:rsidP="00D17B38">
            <w:pPr>
              <w:pStyle w:val="ListParagraph"/>
              <w:numPr>
                <w:ilvl w:val="0"/>
                <w:numId w:val="5"/>
              </w:numPr>
              <w:spacing w:after="120" w:line="240" w:lineRule="auto"/>
              <w:ind w:left="432" w:hanging="274"/>
              <w:rPr>
                <w:bCs/>
              </w:rPr>
            </w:pPr>
            <w:r w:rsidRPr="00D13D4E">
              <w:rPr>
                <w:bCs/>
              </w:rPr>
              <w:t>On a different note</w:t>
            </w:r>
            <w:r w:rsidR="00EA72C8" w:rsidRPr="00D13D4E">
              <w:rPr>
                <w:bCs/>
              </w:rPr>
              <w:t xml:space="preserve">, </w:t>
            </w:r>
            <w:r w:rsidRPr="00D13D4E">
              <w:rPr>
                <w:bCs/>
              </w:rPr>
              <w:t>t</w:t>
            </w:r>
            <w:r w:rsidR="0077087B" w:rsidRPr="00D13D4E">
              <w:rPr>
                <w:bCs/>
              </w:rPr>
              <w:t xml:space="preserve">wo youth structures inside </w:t>
            </w:r>
            <w:r w:rsidR="009B043D" w:rsidRPr="00D13D4E">
              <w:rPr>
                <w:bCs/>
              </w:rPr>
              <w:t xml:space="preserve">the </w:t>
            </w:r>
            <w:r w:rsidR="0077087B" w:rsidRPr="00D13D4E">
              <w:rPr>
                <w:bCs/>
              </w:rPr>
              <w:t>M</w:t>
            </w:r>
            <w:r w:rsidRPr="00D13D4E">
              <w:rPr>
                <w:bCs/>
              </w:rPr>
              <w:t xml:space="preserve">inistry of Youth </w:t>
            </w:r>
            <w:r w:rsidR="009B043D" w:rsidRPr="00D13D4E">
              <w:rPr>
                <w:bCs/>
              </w:rPr>
              <w:t xml:space="preserve">and Sports </w:t>
            </w:r>
            <w:r w:rsidR="00EA72C8" w:rsidRPr="00D13D4E">
              <w:rPr>
                <w:bCs/>
              </w:rPr>
              <w:t>(MoY</w:t>
            </w:r>
            <w:r w:rsidR="009B043D" w:rsidRPr="00D13D4E">
              <w:rPr>
                <w:bCs/>
              </w:rPr>
              <w:t>S</w:t>
            </w:r>
            <w:r w:rsidR="00EA72C8" w:rsidRPr="00D13D4E">
              <w:rPr>
                <w:bCs/>
              </w:rPr>
              <w:t xml:space="preserve">) </w:t>
            </w:r>
            <w:r w:rsidR="009B043D" w:rsidRPr="00D13D4E">
              <w:rPr>
                <w:bCs/>
              </w:rPr>
              <w:t xml:space="preserve">were </w:t>
            </w:r>
            <w:r w:rsidR="0077087B" w:rsidRPr="00D13D4E">
              <w:rPr>
                <w:bCs/>
              </w:rPr>
              <w:t xml:space="preserve">identified to be engaging in the process of good </w:t>
            </w:r>
            <w:r w:rsidR="009B043D" w:rsidRPr="00D13D4E">
              <w:rPr>
                <w:bCs/>
              </w:rPr>
              <w:t xml:space="preserve">governance and decentralization.  Additional </w:t>
            </w:r>
            <w:r w:rsidR="0077087B" w:rsidRPr="00D13D4E">
              <w:rPr>
                <w:bCs/>
              </w:rPr>
              <w:t xml:space="preserve">two </w:t>
            </w:r>
            <w:r w:rsidR="009B043D" w:rsidRPr="00D13D4E">
              <w:rPr>
                <w:bCs/>
              </w:rPr>
              <w:t xml:space="preserve">structures </w:t>
            </w:r>
            <w:r w:rsidR="0077087B" w:rsidRPr="00D13D4E">
              <w:rPr>
                <w:bCs/>
              </w:rPr>
              <w:t xml:space="preserve">will be created </w:t>
            </w:r>
            <w:r w:rsidR="009B043D" w:rsidRPr="00D13D4E">
              <w:rPr>
                <w:bCs/>
              </w:rPr>
              <w:t xml:space="preserve">at the governorate </w:t>
            </w:r>
            <w:r w:rsidR="0077087B" w:rsidRPr="00D13D4E">
              <w:rPr>
                <w:bCs/>
              </w:rPr>
              <w:t>level</w:t>
            </w:r>
            <w:r w:rsidR="009B043D" w:rsidRPr="00D13D4E">
              <w:rPr>
                <w:bCs/>
              </w:rPr>
              <w:t>.</w:t>
            </w:r>
            <w:r w:rsidR="0077087B" w:rsidRPr="00D13D4E">
              <w:rPr>
                <w:bCs/>
              </w:rPr>
              <w:t xml:space="preserve"> </w:t>
            </w:r>
            <w:r w:rsidR="00EA3515" w:rsidRPr="00D13D4E">
              <w:rPr>
                <w:bCs/>
              </w:rPr>
              <w:t>In addition, three consultancy missions were planned by American University in Beirut (AUB) on “</w:t>
            </w:r>
            <w:r w:rsidR="00EA3515" w:rsidRPr="00D13D4E">
              <w:rPr>
                <w:bCs/>
                <w:i/>
                <w:iCs/>
              </w:rPr>
              <w:t>Decentralization and Youth Participation in Decision Making Process</w:t>
            </w:r>
            <w:r w:rsidR="00EA3515" w:rsidRPr="00D13D4E">
              <w:rPr>
                <w:bCs/>
              </w:rPr>
              <w:t>” to take place right after the Holy Month of Ramadan.</w:t>
            </w:r>
          </w:p>
          <w:p w:rsidR="00EA3515" w:rsidRPr="00D13D4E" w:rsidRDefault="00EA3515" w:rsidP="00EA3515">
            <w:pPr>
              <w:pStyle w:val="ListParagraph"/>
              <w:spacing w:after="120" w:line="240" w:lineRule="auto"/>
              <w:ind w:left="432"/>
              <w:rPr>
                <w:bCs/>
              </w:rPr>
            </w:pPr>
          </w:p>
          <w:p w:rsidR="00922379" w:rsidRPr="00D13D4E" w:rsidRDefault="00F25F79" w:rsidP="00CF5E0C">
            <w:pPr>
              <w:spacing w:before="40" w:after="40"/>
              <w:ind w:left="149"/>
              <w:rPr>
                <w:rFonts w:asciiTheme="minorHAnsi" w:hAnsiTheme="minorHAnsi"/>
                <w:b/>
                <w:bCs/>
                <w:szCs w:val="22"/>
                <w:lang w:val="en-US"/>
              </w:rPr>
            </w:pPr>
            <w:r w:rsidRPr="00D13D4E">
              <w:rPr>
                <w:rFonts w:asciiTheme="minorHAnsi" w:hAnsiTheme="minorHAnsi"/>
                <w:b/>
                <w:bCs/>
                <w:szCs w:val="22"/>
                <w:lang w:val="en-US"/>
              </w:rPr>
              <w:t>UNWOMEN</w:t>
            </w:r>
          </w:p>
          <w:p w:rsidR="00DA2805" w:rsidRPr="00D13D4E" w:rsidRDefault="00DA2805" w:rsidP="00D17B38">
            <w:pPr>
              <w:pStyle w:val="ListParagraph"/>
              <w:numPr>
                <w:ilvl w:val="0"/>
                <w:numId w:val="5"/>
              </w:numPr>
              <w:spacing w:after="120" w:line="240" w:lineRule="auto"/>
              <w:ind w:left="432" w:hanging="274"/>
              <w:rPr>
                <w:bCs/>
              </w:rPr>
            </w:pPr>
            <w:r w:rsidRPr="00D13D4E">
              <w:rPr>
                <w:bCs/>
              </w:rPr>
              <w:t>In May 2015, UNW organised a workshop on GRB</w:t>
            </w:r>
            <w:r w:rsidR="00C60EBF" w:rsidRPr="00D13D4E">
              <w:rPr>
                <w:bCs/>
              </w:rPr>
              <w:t>, targeting MoF staff</w:t>
            </w:r>
            <w:r w:rsidRPr="00D13D4E">
              <w:rPr>
                <w:bCs/>
              </w:rPr>
              <w:t>.    In this sense, th</w:t>
            </w:r>
            <w:r w:rsidR="00FC637F" w:rsidRPr="00D13D4E">
              <w:rPr>
                <w:bCs/>
              </w:rPr>
              <w:t>e</w:t>
            </w:r>
            <w:r w:rsidRPr="00D13D4E">
              <w:rPr>
                <w:bCs/>
              </w:rPr>
              <w:t xml:space="preserve"> workshop allowed to introduce the GRB concept for participants and give an overview on different adaptations of the approach within the Iraqi context. On the conclusion of the workshop</w:t>
            </w:r>
            <w:r w:rsidR="00630037" w:rsidRPr="00D13D4E">
              <w:rPr>
                <w:bCs/>
              </w:rPr>
              <w:t xml:space="preserve">, </w:t>
            </w:r>
            <w:r w:rsidRPr="00D13D4E">
              <w:rPr>
                <w:bCs/>
              </w:rPr>
              <w:t>participants had the knowledge about GRB and its relevance in programming and budgeting. They are also now hav</w:t>
            </w:r>
            <w:r w:rsidR="00630037" w:rsidRPr="00D13D4E">
              <w:rPr>
                <w:bCs/>
              </w:rPr>
              <w:t xml:space="preserve">ing </w:t>
            </w:r>
            <w:r w:rsidRPr="00D13D4E">
              <w:rPr>
                <w:bCs/>
              </w:rPr>
              <w:t xml:space="preserve">the capacity to introduce GRB in the budget law of Iraq once there is a political commitment. </w:t>
            </w:r>
          </w:p>
          <w:p w:rsidR="00DA2805" w:rsidRPr="00D13D4E" w:rsidRDefault="00DA2805" w:rsidP="00D17B38">
            <w:pPr>
              <w:pStyle w:val="ListParagraph"/>
              <w:numPr>
                <w:ilvl w:val="0"/>
                <w:numId w:val="5"/>
              </w:numPr>
              <w:spacing w:after="120" w:line="240" w:lineRule="auto"/>
              <w:ind w:left="432" w:hanging="274"/>
              <w:rPr>
                <w:rFonts w:asciiTheme="minorHAnsi" w:hAnsiTheme="minorHAnsi"/>
                <w:b/>
                <w:bCs/>
              </w:rPr>
            </w:pPr>
            <w:r w:rsidRPr="00D13D4E">
              <w:rPr>
                <w:bCs/>
              </w:rPr>
              <w:t xml:space="preserve">A second workshop was organized for Diwaniya Officials in May 2015. </w:t>
            </w:r>
            <w:r w:rsidR="00FC62F9" w:rsidRPr="00D13D4E">
              <w:rPr>
                <w:bCs/>
              </w:rPr>
              <w:t xml:space="preserve"> </w:t>
            </w:r>
            <w:r w:rsidRPr="00D13D4E">
              <w:rPr>
                <w:bCs/>
              </w:rPr>
              <w:t>It came to capitalize on the achievements of the first workshop, to consolidate and deepen the participant’s knowledge and capacities through a focus on key GRB steps mainly:</w:t>
            </w:r>
            <w:r w:rsidR="00D569BE" w:rsidRPr="00D13D4E">
              <w:rPr>
                <w:bCs/>
              </w:rPr>
              <w:t xml:space="preserve"> </w:t>
            </w:r>
            <w:r w:rsidR="00D569BE" w:rsidRPr="00D13D4E">
              <w:rPr>
                <w:b/>
              </w:rPr>
              <w:t>(1)</w:t>
            </w:r>
            <w:r w:rsidR="00D569BE" w:rsidRPr="00D13D4E">
              <w:rPr>
                <w:bCs/>
              </w:rPr>
              <w:t xml:space="preserve"> </w:t>
            </w:r>
            <w:r w:rsidRPr="00D13D4E">
              <w:rPr>
                <w:bCs/>
              </w:rPr>
              <w:t>Gender-based public policies monitoring and evaluation, and gender-based statistics</w:t>
            </w:r>
            <w:r w:rsidR="00D569BE" w:rsidRPr="00D13D4E">
              <w:rPr>
                <w:bCs/>
              </w:rPr>
              <w:t xml:space="preserve">, </w:t>
            </w:r>
            <w:r w:rsidR="00D569BE" w:rsidRPr="00D13D4E">
              <w:rPr>
                <w:b/>
              </w:rPr>
              <w:t>(2)</w:t>
            </w:r>
            <w:r w:rsidRPr="00D13D4E">
              <w:rPr>
                <w:bCs/>
              </w:rPr>
              <w:t> Fiscal reforms and public finances management</w:t>
            </w:r>
            <w:r w:rsidR="00D569BE" w:rsidRPr="00D13D4E">
              <w:rPr>
                <w:bCs/>
              </w:rPr>
              <w:t xml:space="preserve">, and </w:t>
            </w:r>
            <w:r w:rsidR="00D569BE" w:rsidRPr="00D13D4E">
              <w:rPr>
                <w:b/>
              </w:rPr>
              <w:t>(3)</w:t>
            </w:r>
            <w:r w:rsidRPr="00D13D4E">
              <w:rPr>
                <w:bCs/>
              </w:rPr>
              <w:t> Accountability mechanisms and the role of the Parliament</w:t>
            </w:r>
          </w:p>
        </w:tc>
      </w:tr>
      <w:tr w:rsidR="00DD16E0" w:rsidRPr="00D13D4E" w:rsidTr="00186364">
        <w:trPr>
          <w:jc w:val="center"/>
        </w:trPr>
        <w:tc>
          <w:tcPr>
            <w:tcW w:w="10080" w:type="dxa"/>
            <w:tcBorders>
              <w:top w:val="single" w:sz="4" w:space="0" w:color="auto"/>
              <w:bottom w:val="nil"/>
            </w:tcBorders>
          </w:tcPr>
          <w:p w:rsidR="00D63FEF" w:rsidRPr="00D13D4E" w:rsidRDefault="00D63FEF" w:rsidP="00223D09">
            <w:pPr>
              <w:spacing w:before="40" w:after="40"/>
              <w:ind w:left="162"/>
              <w:rPr>
                <w:rFonts w:asciiTheme="minorHAnsi" w:hAnsiTheme="minorHAnsi"/>
                <w:b/>
                <w:bCs/>
                <w:szCs w:val="22"/>
              </w:rPr>
            </w:pPr>
            <w:r w:rsidRPr="00D13D4E">
              <w:rPr>
                <w:rFonts w:asciiTheme="minorHAnsi" w:hAnsiTheme="minorHAnsi"/>
                <w:b/>
                <w:bCs/>
                <w:szCs w:val="22"/>
                <w:lang w:val="en-US"/>
              </w:rPr>
              <w:lastRenderedPageBreak/>
              <w:t>JP Output 3: GoI is implementing reform and modernization plans in Education, Health and WATSAN sectors</w:t>
            </w:r>
          </w:p>
        </w:tc>
      </w:tr>
      <w:tr w:rsidR="00DD16E0" w:rsidRPr="00D13D4E" w:rsidTr="00186364">
        <w:trPr>
          <w:jc w:val="center"/>
        </w:trPr>
        <w:tc>
          <w:tcPr>
            <w:tcW w:w="10080" w:type="dxa"/>
            <w:tcBorders>
              <w:top w:val="nil"/>
              <w:bottom w:val="nil"/>
            </w:tcBorders>
          </w:tcPr>
          <w:p w:rsidR="00BC61B4" w:rsidRPr="00D13D4E" w:rsidRDefault="00BC61B4" w:rsidP="006D0C7F">
            <w:pPr>
              <w:spacing w:before="40" w:after="40"/>
              <w:rPr>
                <w:rFonts w:asciiTheme="minorHAnsi" w:hAnsiTheme="minorHAnsi"/>
                <w:szCs w:val="22"/>
                <w:lang w:val="en-US"/>
              </w:rPr>
            </w:pPr>
          </w:p>
        </w:tc>
      </w:tr>
      <w:tr w:rsidR="00DD16E0" w:rsidRPr="00D13D4E" w:rsidTr="00186364">
        <w:trPr>
          <w:jc w:val="center"/>
        </w:trPr>
        <w:tc>
          <w:tcPr>
            <w:tcW w:w="10080" w:type="dxa"/>
            <w:tcBorders>
              <w:top w:val="nil"/>
              <w:bottom w:val="nil"/>
            </w:tcBorders>
          </w:tcPr>
          <w:p w:rsidR="00614D19" w:rsidRPr="00D13D4E" w:rsidRDefault="00C903AF" w:rsidP="00400847">
            <w:pPr>
              <w:spacing w:before="40" w:after="40"/>
              <w:ind w:left="162"/>
              <w:rPr>
                <w:rFonts w:asciiTheme="minorHAnsi" w:hAnsiTheme="minorHAnsi"/>
                <w:b/>
                <w:bCs/>
                <w:szCs w:val="22"/>
                <w:lang w:val="en-US"/>
              </w:rPr>
            </w:pPr>
            <w:r w:rsidRPr="00D13D4E">
              <w:rPr>
                <w:rFonts w:asciiTheme="minorHAnsi" w:hAnsiTheme="minorHAnsi"/>
                <w:b/>
                <w:bCs/>
                <w:szCs w:val="22"/>
                <w:lang w:val="en-US"/>
              </w:rPr>
              <w:t>Education: UNESCO/UNICEF</w:t>
            </w:r>
            <w:r w:rsidR="008D4E31" w:rsidRPr="00D13D4E">
              <w:rPr>
                <w:rFonts w:asciiTheme="minorHAnsi" w:hAnsiTheme="minorHAnsi"/>
                <w:b/>
                <w:bCs/>
                <w:szCs w:val="22"/>
                <w:lang w:val="en-US"/>
              </w:rPr>
              <w:t>/UNWOMEN</w:t>
            </w:r>
          </w:p>
          <w:p w:rsidR="00614D19" w:rsidRPr="00D13D4E" w:rsidRDefault="00614D19" w:rsidP="00D17B38">
            <w:pPr>
              <w:pStyle w:val="ListParagraph"/>
              <w:numPr>
                <w:ilvl w:val="0"/>
                <w:numId w:val="5"/>
              </w:numPr>
              <w:spacing w:after="120" w:line="240" w:lineRule="auto"/>
              <w:ind w:left="432" w:hanging="274"/>
              <w:rPr>
                <w:bCs/>
              </w:rPr>
            </w:pPr>
            <w:r w:rsidRPr="00D13D4E">
              <w:rPr>
                <w:bCs/>
              </w:rPr>
              <w:t>In an effort to assist MoE to develop and implement more effective ICT-supported communication processes and procedures, UNESCO held a workshop with senior officials from MoE in which the needs and requirements for implementing a new comprehensive Education Management Information System (EMIS) were identified jointly with national counterparts. Accordingly, UNESCO</w:t>
            </w:r>
            <w:r w:rsidR="00FC62F9" w:rsidRPr="00D13D4E">
              <w:rPr>
                <w:bCs/>
              </w:rPr>
              <w:t>-</w:t>
            </w:r>
            <w:r w:rsidRPr="00D13D4E">
              <w:rPr>
                <w:bCs/>
              </w:rPr>
              <w:t xml:space="preserve">IPSM team held series of meetings with EMIS international expert aimed at incorporating feedback received from MoE officials. </w:t>
            </w:r>
            <w:r w:rsidR="00FC62F9" w:rsidRPr="00D13D4E">
              <w:rPr>
                <w:bCs/>
              </w:rPr>
              <w:t xml:space="preserve"> </w:t>
            </w:r>
            <w:r w:rsidRPr="00D13D4E">
              <w:rPr>
                <w:bCs/>
              </w:rPr>
              <w:t>As a result, a 2015 roadmap for the roll-out of EMIS across Iraq was developed identifying activities and deliverables covering the following areas:</w:t>
            </w:r>
          </w:p>
          <w:p w:rsidR="00614D19" w:rsidRPr="00D13D4E" w:rsidRDefault="00272FD4"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Training,</w:t>
            </w:r>
          </w:p>
          <w:p w:rsidR="00614D19" w:rsidRPr="00D13D4E" w:rsidRDefault="00272FD4"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System administration,</w:t>
            </w:r>
          </w:p>
          <w:p w:rsidR="00614D19" w:rsidRPr="00D13D4E" w:rsidRDefault="00272FD4"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Application administration,</w:t>
            </w:r>
          </w:p>
          <w:p w:rsidR="00614D19" w:rsidRPr="00D13D4E" w:rsidRDefault="00272FD4"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Staff requirements, and</w:t>
            </w:r>
          </w:p>
          <w:p w:rsidR="00614D19" w:rsidRPr="00D13D4E" w:rsidRDefault="00614D19"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Hardware requirements.</w:t>
            </w:r>
          </w:p>
          <w:p w:rsidR="00614D19" w:rsidRPr="00D13D4E" w:rsidRDefault="00614D19" w:rsidP="00D17B38">
            <w:pPr>
              <w:pStyle w:val="ListParagraph"/>
              <w:numPr>
                <w:ilvl w:val="0"/>
                <w:numId w:val="5"/>
              </w:numPr>
              <w:spacing w:after="120" w:line="240" w:lineRule="auto"/>
              <w:ind w:left="432" w:hanging="274"/>
              <w:rPr>
                <w:bCs/>
              </w:rPr>
            </w:pPr>
            <w:r w:rsidRPr="00D13D4E">
              <w:rPr>
                <w:bCs/>
              </w:rPr>
              <w:t>In an effort to assist MoHESR at the central level in establishing an adequate organizational structure and efficient processes for improved services, in addition to strengthening MoHESR</w:t>
            </w:r>
            <w:r w:rsidR="00FC62F9" w:rsidRPr="00D13D4E">
              <w:rPr>
                <w:bCs/>
              </w:rPr>
              <w:t xml:space="preserve"> </w:t>
            </w:r>
            <w:r w:rsidRPr="00D13D4E">
              <w:rPr>
                <w:bCs/>
              </w:rPr>
              <w:t>capacity in Human Resources Management (HRM), the following meetings and workshops were conducted:</w:t>
            </w:r>
          </w:p>
          <w:p w:rsidR="00614D19" w:rsidRPr="00D13D4E" w:rsidRDefault="00614D19"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lastRenderedPageBreak/>
              <w:t>A series of preparatory me</w:t>
            </w:r>
            <w:r w:rsidR="00FC62F9" w:rsidRPr="00D13D4E">
              <w:rPr>
                <w:rFonts w:asciiTheme="minorHAnsi" w:hAnsiTheme="minorHAnsi"/>
                <w:bCs/>
              </w:rPr>
              <w:t>etings were held between UNESCO-</w:t>
            </w:r>
            <w:r w:rsidRPr="00D13D4E">
              <w:rPr>
                <w:rFonts w:asciiTheme="minorHAnsi" w:hAnsiTheme="minorHAnsi"/>
                <w:bCs/>
              </w:rPr>
              <w:t>IPSM team and the international experts with regards to conducting a training workshop on developing job description. As a result, an agreement was reached on the training objective</w:t>
            </w:r>
            <w:r w:rsidR="00FC62F9" w:rsidRPr="00D13D4E">
              <w:rPr>
                <w:rFonts w:asciiTheme="minorHAnsi" w:hAnsiTheme="minorHAnsi"/>
                <w:bCs/>
              </w:rPr>
              <w:t>s and expected results</w:t>
            </w:r>
            <w:r w:rsidRPr="00D13D4E">
              <w:rPr>
                <w:rFonts w:asciiTheme="minorHAnsi" w:hAnsiTheme="minorHAnsi"/>
                <w:bCs/>
              </w:rPr>
              <w:t xml:space="preserve">, </w:t>
            </w:r>
            <w:r w:rsidR="00FC62F9" w:rsidRPr="00D13D4E">
              <w:rPr>
                <w:rFonts w:asciiTheme="minorHAnsi" w:hAnsiTheme="minorHAnsi"/>
                <w:bCs/>
              </w:rPr>
              <w:t>contents</w:t>
            </w:r>
            <w:r w:rsidRPr="00D13D4E">
              <w:rPr>
                <w:rFonts w:asciiTheme="minorHAnsi" w:hAnsiTheme="minorHAnsi"/>
                <w:bCs/>
              </w:rPr>
              <w:t>, training methodology, agenda and training material which were developed in line with UNESCO’s guideline produced in 2014 for develo</w:t>
            </w:r>
            <w:r w:rsidR="00312291" w:rsidRPr="00D13D4E">
              <w:rPr>
                <w:rFonts w:asciiTheme="minorHAnsi" w:hAnsiTheme="minorHAnsi"/>
                <w:bCs/>
              </w:rPr>
              <w:t>ping job description</w:t>
            </w:r>
            <w:r w:rsidR="007E0C54" w:rsidRPr="00D13D4E">
              <w:rPr>
                <w:rFonts w:asciiTheme="minorHAnsi" w:hAnsiTheme="minorHAnsi"/>
                <w:bCs/>
              </w:rPr>
              <w:t>, and</w:t>
            </w:r>
          </w:p>
          <w:p w:rsidR="00687723" w:rsidRPr="00D13D4E" w:rsidRDefault="00614D19"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A three-day training workshop on developing job description was conducted in Baghdad from 19 to 21 May 2015. The training benefited 17 officials from the committee in charge of job description in MoHESR.</w:t>
            </w:r>
          </w:p>
          <w:p w:rsidR="003B6079" w:rsidRPr="00D13D4E" w:rsidRDefault="00A46CB3" w:rsidP="00D17B38">
            <w:pPr>
              <w:pStyle w:val="ListParagraph"/>
              <w:numPr>
                <w:ilvl w:val="0"/>
                <w:numId w:val="5"/>
              </w:numPr>
              <w:spacing w:after="120" w:line="240" w:lineRule="auto"/>
              <w:ind w:left="432" w:hanging="274"/>
              <w:rPr>
                <w:bCs/>
              </w:rPr>
            </w:pPr>
            <w:r w:rsidRPr="00D13D4E">
              <w:rPr>
                <w:bCs/>
              </w:rPr>
              <w:t xml:space="preserve">UNICEF has </w:t>
            </w:r>
            <w:r w:rsidR="003B6079" w:rsidRPr="00D13D4E">
              <w:rPr>
                <w:bCs/>
              </w:rPr>
              <w:t xml:space="preserve">agreed with EMAC to review the contents of the SBM training manual to be consistent with the sixth studies prepared by Geopolicity. Members of the Committee that will review the manuals were identified.  In addition, an aagreement was reached with EMAC to hold two workshops in Basra and Najaf, targeting representatives of the provincial and local governments, representatives of DoEs and number of MoE leaders before engaging with the selected pilot schools.  </w:t>
            </w:r>
          </w:p>
          <w:p w:rsidR="003B6079" w:rsidRPr="00D13D4E" w:rsidRDefault="003B6079" w:rsidP="00D17B38">
            <w:pPr>
              <w:pStyle w:val="ListParagraph"/>
              <w:numPr>
                <w:ilvl w:val="0"/>
                <w:numId w:val="5"/>
              </w:numPr>
              <w:spacing w:after="120" w:line="240" w:lineRule="auto"/>
              <w:ind w:left="432" w:hanging="274"/>
              <w:rPr>
                <w:bCs/>
              </w:rPr>
            </w:pPr>
            <w:r w:rsidRPr="00D13D4E">
              <w:rPr>
                <w:bCs/>
              </w:rPr>
              <w:t>Another agreement was reached with K-EMAC on the implementation of the first phase of training of members of the school development committees in selected schools in Dahuk.  Two training sessions will target 65 participants (13 principals, 39 teachers and accountant in addition to 13 PTA’s Chairman). The training will be held in Dahuk during summer school recess, and will be carried out by the lead trainers who have been trained for this purpose.</w:t>
            </w:r>
          </w:p>
          <w:p w:rsidR="003B6079" w:rsidRPr="00D13D4E" w:rsidRDefault="003B6079" w:rsidP="00D17B38">
            <w:pPr>
              <w:pStyle w:val="ListParagraph"/>
              <w:numPr>
                <w:ilvl w:val="0"/>
                <w:numId w:val="5"/>
              </w:numPr>
              <w:spacing w:after="120" w:line="240" w:lineRule="auto"/>
              <w:ind w:left="432" w:hanging="274"/>
              <w:rPr>
                <w:bCs/>
              </w:rPr>
            </w:pPr>
            <w:r w:rsidRPr="00D13D4E">
              <w:rPr>
                <w:bCs/>
              </w:rPr>
              <w:t xml:space="preserve">Face-to-face meetings </w:t>
            </w:r>
            <w:r w:rsidR="00924B98" w:rsidRPr="00D13D4E">
              <w:rPr>
                <w:bCs/>
              </w:rPr>
              <w:t xml:space="preserve">was </w:t>
            </w:r>
            <w:r w:rsidRPr="00D13D4E">
              <w:rPr>
                <w:bCs/>
              </w:rPr>
              <w:t>conducted with school administrators selected for applying the SBM approach to determine the required financial grants for the implementation of the concept in their respective schools.</w:t>
            </w:r>
          </w:p>
          <w:p w:rsidR="003B6079" w:rsidRPr="00D13D4E" w:rsidRDefault="003B6079" w:rsidP="00D17B38">
            <w:pPr>
              <w:pStyle w:val="ListParagraph"/>
              <w:numPr>
                <w:ilvl w:val="0"/>
                <w:numId w:val="5"/>
              </w:numPr>
              <w:spacing w:after="120" w:line="240" w:lineRule="auto"/>
              <w:ind w:left="432" w:hanging="274"/>
              <w:rPr>
                <w:bCs/>
              </w:rPr>
            </w:pPr>
            <w:r w:rsidRPr="00D13D4E">
              <w:rPr>
                <w:bCs/>
              </w:rPr>
              <w:t>The Committee charged with reviewing and checking the contents of the SBM Guideline concluded the review, the report is currently in print and distribution will follow as soon as printing is concluded.  In addition, a Committee in the Ministry of Education in Kurdistan was formed to review the Kurdish version of the SBM Guideline before printing it by UNICEF.</w:t>
            </w:r>
          </w:p>
          <w:p w:rsidR="00614D19" w:rsidRPr="00D13D4E" w:rsidRDefault="00614D19" w:rsidP="00614D19">
            <w:pPr>
              <w:spacing w:before="40" w:after="40"/>
              <w:ind w:left="162"/>
              <w:rPr>
                <w:rFonts w:asciiTheme="minorHAnsi" w:hAnsiTheme="minorHAnsi"/>
                <w:b/>
                <w:bCs/>
                <w:szCs w:val="22"/>
                <w:lang w:val="en-US"/>
              </w:rPr>
            </w:pPr>
          </w:p>
        </w:tc>
      </w:tr>
      <w:tr w:rsidR="00D13D4E" w:rsidRPr="00D13D4E" w:rsidTr="00186364">
        <w:trPr>
          <w:jc w:val="center"/>
        </w:trPr>
        <w:tc>
          <w:tcPr>
            <w:tcW w:w="10080" w:type="dxa"/>
            <w:tcBorders>
              <w:top w:val="nil"/>
              <w:bottom w:val="single" w:sz="4" w:space="0" w:color="auto"/>
            </w:tcBorders>
          </w:tcPr>
          <w:p w:rsidR="00802FA1" w:rsidRPr="00D13D4E" w:rsidRDefault="00802FA1" w:rsidP="00802FA1">
            <w:pPr>
              <w:spacing w:before="40" w:after="40"/>
              <w:ind w:left="162"/>
              <w:rPr>
                <w:rFonts w:asciiTheme="minorHAnsi" w:hAnsiTheme="minorHAnsi"/>
                <w:b/>
                <w:bCs/>
                <w:szCs w:val="22"/>
                <w:lang w:val="en-US"/>
              </w:rPr>
            </w:pPr>
            <w:r w:rsidRPr="00D13D4E">
              <w:rPr>
                <w:rFonts w:asciiTheme="minorHAnsi" w:hAnsiTheme="minorHAnsi"/>
                <w:b/>
                <w:bCs/>
                <w:szCs w:val="22"/>
                <w:lang w:val="en-US"/>
              </w:rPr>
              <w:lastRenderedPageBreak/>
              <w:t>Health: WHO/UNFPA/UNICEF/UNWOMEN</w:t>
            </w:r>
          </w:p>
          <w:p w:rsidR="0074355F" w:rsidRPr="00D13D4E" w:rsidRDefault="0074355F" w:rsidP="00D17B38">
            <w:pPr>
              <w:pStyle w:val="ListParagraph"/>
              <w:numPr>
                <w:ilvl w:val="0"/>
                <w:numId w:val="5"/>
              </w:numPr>
              <w:spacing w:after="120" w:line="240" w:lineRule="auto"/>
              <w:ind w:left="432" w:hanging="274"/>
              <w:rPr>
                <w:bCs/>
              </w:rPr>
            </w:pPr>
            <w:r w:rsidRPr="00D13D4E">
              <w:rPr>
                <w:bCs/>
              </w:rPr>
              <w:t>Preparation is still underway to contract Health Care Accreditation Council-Jordan (HCAC) for accrediting 4 Iraqi Primary Health Care Centres (PHCC). The Council which is an external Recognized Accrediting Body is to be contracted to start the process of Accrediting PHCC for the 1st time in Iraq. The process will take approximately 6 months to conclude and will include 4 areas of interventions as follows:</w:t>
            </w:r>
          </w:p>
          <w:p w:rsidR="0074355F" w:rsidRPr="00D13D4E" w:rsidRDefault="0074355F"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Initial Mock survey and Gap Analysis for 4 PHC Centres,</w:t>
            </w:r>
          </w:p>
          <w:p w:rsidR="00C45DFC" w:rsidRPr="00D13D4E" w:rsidRDefault="0074355F"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Capacity Building of Surveyors,</w:t>
            </w:r>
          </w:p>
          <w:p w:rsidR="00C45DFC" w:rsidRPr="00D13D4E" w:rsidRDefault="0074355F"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Standards Review, and</w:t>
            </w:r>
          </w:p>
          <w:p w:rsidR="0074355F" w:rsidRPr="00D13D4E" w:rsidRDefault="0074355F" w:rsidP="00D17B38">
            <w:pPr>
              <w:pStyle w:val="ListParagraph"/>
              <w:numPr>
                <w:ilvl w:val="0"/>
                <w:numId w:val="8"/>
              </w:numPr>
              <w:spacing w:before="40" w:after="40" w:line="240" w:lineRule="auto"/>
              <w:ind w:hanging="293"/>
              <w:rPr>
                <w:rFonts w:asciiTheme="minorHAnsi" w:hAnsiTheme="minorHAnsi"/>
                <w:bCs/>
              </w:rPr>
            </w:pPr>
            <w:r w:rsidRPr="00D13D4E">
              <w:rPr>
                <w:rFonts w:asciiTheme="minorHAnsi" w:hAnsiTheme="minorHAnsi"/>
                <w:bCs/>
              </w:rPr>
              <w:t>Final Assessment of the 4 PHC Centres.</w:t>
            </w:r>
          </w:p>
          <w:p w:rsidR="0074355F" w:rsidRPr="00D13D4E" w:rsidRDefault="0074355F" w:rsidP="00D17B38">
            <w:pPr>
              <w:pStyle w:val="ListParagraph"/>
              <w:numPr>
                <w:ilvl w:val="0"/>
                <w:numId w:val="5"/>
              </w:numPr>
              <w:spacing w:after="120" w:line="240" w:lineRule="auto"/>
              <w:ind w:left="432" w:hanging="274"/>
              <w:rPr>
                <w:bCs/>
              </w:rPr>
            </w:pPr>
            <w:r w:rsidRPr="00D13D4E">
              <w:rPr>
                <w:bCs/>
              </w:rPr>
              <w:t>Discussing with ANU (Australian National University team &amp; Harvard University team) the way forward to support Iraqi Government about decentralization, its advantages and challenges that may associate.</w:t>
            </w:r>
          </w:p>
          <w:p w:rsidR="0074355F" w:rsidRPr="00D13D4E" w:rsidRDefault="0074355F" w:rsidP="00D17B38">
            <w:pPr>
              <w:pStyle w:val="ListParagraph"/>
              <w:numPr>
                <w:ilvl w:val="0"/>
                <w:numId w:val="5"/>
              </w:numPr>
              <w:spacing w:after="120" w:line="240" w:lineRule="auto"/>
              <w:ind w:left="432" w:hanging="274"/>
              <w:rPr>
                <w:bCs/>
              </w:rPr>
            </w:pPr>
            <w:r w:rsidRPr="00D13D4E">
              <w:rPr>
                <w:bCs/>
              </w:rPr>
              <w:t xml:space="preserve">Support Establishing the National council for accreditation for Higher education and MoH to support accrediting medical and institutional colleges. </w:t>
            </w:r>
          </w:p>
          <w:p w:rsidR="00760D1E" w:rsidRPr="00D13D4E" w:rsidRDefault="00760D1E" w:rsidP="00C903AF">
            <w:pPr>
              <w:spacing w:before="40" w:after="40"/>
              <w:ind w:left="162"/>
              <w:rPr>
                <w:rFonts w:asciiTheme="minorHAnsi" w:hAnsiTheme="minorHAnsi"/>
                <w:b/>
                <w:bCs/>
                <w:szCs w:val="22"/>
                <w:lang w:val="en-US"/>
              </w:rPr>
            </w:pPr>
          </w:p>
          <w:p w:rsidR="00E07A13" w:rsidRPr="00D13D4E" w:rsidRDefault="00C903AF" w:rsidP="00877259">
            <w:pPr>
              <w:spacing w:before="40" w:after="40"/>
              <w:ind w:left="162"/>
              <w:rPr>
                <w:rFonts w:asciiTheme="minorHAnsi" w:hAnsiTheme="minorHAnsi"/>
                <w:b/>
                <w:bCs/>
                <w:szCs w:val="22"/>
                <w:lang w:val="en-US"/>
              </w:rPr>
            </w:pPr>
            <w:r w:rsidRPr="00D13D4E">
              <w:rPr>
                <w:rFonts w:asciiTheme="minorHAnsi" w:hAnsiTheme="minorHAnsi"/>
                <w:b/>
                <w:bCs/>
                <w:szCs w:val="22"/>
                <w:lang w:val="en-US"/>
              </w:rPr>
              <w:t xml:space="preserve">WATSAN: </w:t>
            </w:r>
            <w:r w:rsidR="005A0BA3" w:rsidRPr="00D13D4E">
              <w:rPr>
                <w:rFonts w:asciiTheme="minorHAnsi" w:hAnsiTheme="minorHAnsi"/>
                <w:b/>
                <w:bCs/>
                <w:szCs w:val="22"/>
                <w:lang w:val="en-US"/>
              </w:rPr>
              <w:t>UNICEF/</w:t>
            </w:r>
            <w:r w:rsidR="00851023" w:rsidRPr="00D13D4E">
              <w:rPr>
                <w:rFonts w:asciiTheme="minorHAnsi" w:hAnsiTheme="minorHAnsi"/>
                <w:b/>
                <w:bCs/>
                <w:szCs w:val="22"/>
                <w:lang w:val="en-US"/>
              </w:rPr>
              <w:t>UN</w:t>
            </w:r>
            <w:r w:rsidR="00005FC7" w:rsidRPr="00D13D4E">
              <w:rPr>
                <w:rFonts w:asciiTheme="minorHAnsi" w:hAnsiTheme="minorHAnsi"/>
                <w:b/>
                <w:bCs/>
                <w:szCs w:val="22"/>
                <w:lang w:val="en-US"/>
              </w:rPr>
              <w:t>-</w:t>
            </w:r>
            <w:r w:rsidR="00851023" w:rsidRPr="00D13D4E">
              <w:rPr>
                <w:rFonts w:asciiTheme="minorHAnsi" w:hAnsiTheme="minorHAnsi"/>
                <w:b/>
                <w:bCs/>
                <w:szCs w:val="22"/>
                <w:lang w:val="en-US"/>
              </w:rPr>
              <w:t>H</w:t>
            </w:r>
            <w:r w:rsidR="005A1852" w:rsidRPr="00D13D4E">
              <w:rPr>
                <w:rFonts w:asciiTheme="minorHAnsi" w:hAnsiTheme="minorHAnsi"/>
                <w:b/>
                <w:bCs/>
                <w:szCs w:val="22"/>
                <w:lang w:val="en-US"/>
              </w:rPr>
              <w:t>abitat</w:t>
            </w:r>
            <w:r w:rsidR="005A0BA3" w:rsidRPr="00D13D4E">
              <w:rPr>
                <w:rFonts w:asciiTheme="minorHAnsi" w:hAnsiTheme="minorHAnsi"/>
                <w:b/>
                <w:bCs/>
                <w:szCs w:val="22"/>
                <w:lang w:val="en-US"/>
              </w:rPr>
              <w:t>/U</w:t>
            </w:r>
            <w:r w:rsidRPr="00D13D4E">
              <w:rPr>
                <w:rFonts w:asciiTheme="minorHAnsi" w:hAnsiTheme="minorHAnsi"/>
                <w:b/>
                <w:bCs/>
                <w:szCs w:val="22"/>
                <w:lang w:val="en-US"/>
              </w:rPr>
              <w:t>NFPA/UNWOMEN</w:t>
            </w:r>
          </w:p>
          <w:p w:rsidR="00C5066D" w:rsidRPr="00D13D4E" w:rsidRDefault="00C5066D" w:rsidP="00D17B38">
            <w:pPr>
              <w:pStyle w:val="ListParagraph"/>
              <w:numPr>
                <w:ilvl w:val="0"/>
                <w:numId w:val="5"/>
              </w:numPr>
              <w:spacing w:after="120" w:line="240" w:lineRule="auto"/>
              <w:ind w:left="432" w:hanging="274"/>
              <w:rPr>
                <w:bCs/>
              </w:rPr>
            </w:pPr>
            <w:r w:rsidRPr="00D13D4E">
              <w:rPr>
                <w:bCs/>
              </w:rPr>
              <w:t>A meeting with CMWG was held on 22 June 2015 and discussion on AWP 2015 and to overcome all constrains during implementation.</w:t>
            </w:r>
          </w:p>
          <w:p w:rsidR="00C5066D" w:rsidRPr="00D13D4E" w:rsidRDefault="00C5066D" w:rsidP="00D17B38">
            <w:pPr>
              <w:pStyle w:val="ListParagraph"/>
              <w:numPr>
                <w:ilvl w:val="0"/>
                <w:numId w:val="5"/>
              </w:numPr>
              <w:spacing w:after="120" w:line="240" w:lineRule="auto"/>
              <w:ind w:left="432" w:hanging="274"/>
              <w:rPr>
                <w:bCs/>
              </w:rPr>
            </w:pPr>
            <w:r w:rsidRPr="00D13D4E">
              <w:rPr>
                <w:bCs/>
              </w:rPr>
              <w:t xml:space="preserve">The international consultant for Knowledge Management (KM) has conducted </w:t>
            </w:r>
            <w:r w:rsidR="00FC62F9" w:rsidRPr="00D13D4E">
              <w:rPr>
                <w:bCs/>
              </w:rPr>
              <w:t xml:space="preserve">a </w:t>
            </w:r>
            <w:r w:rsidR="00797F40" w:rsidRPr="00D13D4E">
              <w:rPr>
                <w:bCs/>
              </w:rPr>
              <w:t xml:space="preserve">two-day </w:t>
            </w:r>
            <w:r w:rsidRPr="00D13D4E">
              <w:rPr>
                <w:bCs/>
              </w:rPr>
              <w:t xml:space="preserve">workshop on Intranet system for Knowledge Management project held on 09 and 10 June 2015 at MMPW and MoB, respectively.  </w:t>
            </w:r>
            <w:r w:rsidR="005654B7" w:rsidRPr="00D13D4E">
              <w:rPr>
                <w:bCs/>
              </w:rPr>
              <w:t xml:space="preserve">Twenty five </w:t>
            </w:r>
            <w:r w:rsidRPr="00D13D4E">
              <w:rPr>
                <w:bCs/>
              </w:rPr>
              <w:t xml:space="preserve">participants (champions in addition to other concerned staff members from </w:t>
            </w:r>
            <w:r w:rsidRPr="00D13D4E">
              <w:rPr>
                <w:bCs/>
              </w:rPr>
              <w:lastRenderedPageBreak/>
              <w:t xml:space="preserve">different departments in BWA and BWS were participated in addition to participation of designer for intranet page. Inputs from both entities MMPW and MoB received and matrix forms disseminated to participants, to be filled and finalized </w:t>
            </w:r>
            <w:r w:rsidR="009D29BA" w:rsidRPr="00D13D4E">
              <w:rPr>
                <w:bCs/>
              </w:rPr>
              <w:t>soon.</w:t>
            </w:r>
          </w:p>
          <w:p w:rsidR="00122405" w:rsidRPr="00D13D4E" w:rsidRDefault="00122405" w:rsidP="00D17B38">
            <w:pPr>
              <w:pStyle w:val="ListParagraph"/>
              <w:numPr>
                <w:ilvl w:val="0"/>
                <w:numId w:val="5"/>
              </w:numPr>
              <w:spacing w:after="120" w:line="240" w:lineRule="auto"/>
              <w:ind w:left="432" w:hanging="274"/>
              <w:rPr>
                <w:bCs/>
              </w:rPr>
            </w:pPr>
            <w:r w:rsidRPr="00D13D4E">
              <w:rPr>
                <w:bCs/>
              </w:rPr>
              <w:t xml:space="preserve">RFP documents on Environmental Management Drought Plan Guidelines submitted, invitations sent to potential firms, both technical and financial offers received and currently under evaluation process. </w:t>
            </w:r>
          </w:p>
          <w:p w:rsidR="00C5066D" w:rsidRPr="00D13D4E" w:rsidRDefault="00122405" w:rsidP="00D17B38">
            <w:pPr>
              <w:pStyle w:val="ListParagraph"/>
              <w:numPr>
                <w:ilvl w:val="0"/>
                <w:numId w:val="5"/>
              </w:numPr>
              <w:spacing w:after="120" w:line="240" w:lineRule="auto"/>
              <w:ind w:left="432" w:hanging="274"/>
              <w:rPr>
                <w:bCs/>
              </w:rPr>
            </w:pPr>
            <w:r w:rsidRPr="00D13D4E">
              <w:rPr>
                <w:bCs/>
              </w:rPr>
              <w:t>The international consultant who conducted Development of a Strategy Report on Water Quality Management for Iraq will organize 1st workshop at national level through introduction of the National Framework for Water Quality Management after Ramadhan, initially in Baghdad.</w:t>
            </w:r>
          </w:p>
        </w:tc>
      </w:tr>
      <w:tr w:rsidR="00D13D4E" w:rsidRPr="00D13D4E" w:rsidTr="00453C6F">
        <w:trPr>
          <w:trHeight w:val="980"/>
          <w:jc w:val="center"/>
        </w:trPr>
        <w:tc>
          <w:tcPr>
            <w:tcW w:w="10080" w:type="dxa"/>
            <w:tcBorders>
              <w:top w:val="single" w:sz="4" w:space="0" w:color="auto"/>
            </w:tcBorders>
          </w:tcPr>
          <w:p w:rsidR="0085756B" w:rsidRPr="00D13D4E" w:rsidRDefault="0085756B" w:rsidP="00223D09">
            <w:pPr>
              <w:spacing w:before="40" w:after="40"/>
              <w:ind w:left="162"/>
              <w:rPr>
                <w:rFonts w:asciiTheme="minorHAnsi" w:hAnsiTheme="minorHAnsi"/>
                <w:b/>
                <w:bCs/>
                <w:szCs w:val="22"/>
                <w:lang w:val="en-US"/>
              </w:rPr>
            </w:pPr>
            <w:r w:rsidRPr="00D13D4E">
              <w:rPr>
                <w:rFonts w:asciiTheme="minorHAnsi" w:hAnsiTheme="minorHAnsi"/>
                <w:b/>
                <w:bCs/>
                <w:szCs w:val="22"/>
                <w:lang w:val="en-US"/>
              </w:rPr>
              <w:lastRenderedPageBreak/>
              <w:t xml:space="preserve">JP Output 4: GoI sub-national governance and </w:t>
            </w:r>
            <w:r w:rsidR="00987B66" w:rsidRPr="00D13D4E">
              <w:rPr>
                <w:rFonts w:asciiTheme="minorHAnsi" w:hAnsiTheme="minorHAnsi"/>
                <w:b/>
                <w:bCs/>
                <w:szCs w:val="22"/>
                <w:lang w:val="en-US"/>
              </w:rPr>
              <w:t>decentralized</w:t>
            </w:r>
            <w:r w:rsidRPr="00D13D4E">
              <w:rPr>
                <w:rFonts w:asciiTheme="minorHAnsi" w:hAnsiTheme="minorHAnsi"/>
                <w:b/>
                <w:bCs/>
                <w:szCs w:val="22"/>
                <w:lang w:val="en-US"/>
              </w:rPr>
              <w:t xml:space="preserve"> service delivery systems strengthened through enhanced participatory processes</w:t>
            </w:r>
          </w:p>
          <w:p w:rsidR="004F2F18" w:rsidRPr="00D13D4E" w:rsidRDefault="004F2F18" w:rsidP="00F40450">
            <w:pPr>
              <w:spacing w:before="40" w:after="40"/>
              <w:ind w:left="162"/>
              <w:rPr>
                <w:rFonts w:asciiTheme="minorHAnsi" w:hAnsiTheme="minorHAnsi"/>
                <w:b/>
                <w:szCs w:val="22"/>
              </w:rPr>
            </w:pPr>
          </w:p>
          <w:p w:rsidR="002B7398" w:rsidRPr="00D13D4E" w:rsidRDefault="00F40450" w:rsidP="007126FE">
            <w:pPr>
              <w:spacing w:before="40" w:after="40"/>
              <w:ind w:left="149"/>
              <w:rPr>
                <w:rFonts w:asciiTheme="minorHAnsi" w:hAnsiTheme="minorHAnsi"/>
                <w:b/>
                <w:bCs/>
                <w:szCs w:val="22"/>
                <w:lang w:val="en-US"/>
              </w:rPr>
            </w:pPr>
            <w:r w:rsidRPr="00D13D4E">
              <w:rPr>
                <w:rFonts w:asciiTheme="minorHAnsi" w:hAnsiTheme="minorHAnsi"/>
                <w:b/>
                <w:bCs/>
                <w:szCs w:val="22"/>
                <w:lang w:val="en-US"/>
              </w:rPr>
              <w:t>UNDP</w:t>
            </w:r>
          </w:p>
          <w:p w:rsidR="002B7398" w:rsidRPr="00D13D4E" w:rsidRDefault="000D21E0" w:rsidP="00D17B38">
            <w:pPr>
              <w:pStyle w:val="ListParagraph"/>
              <w:numPr>
                <w:ilvl w:val="0"/>
                <w:numId w:val="5"/>
              </w:numPr>
              <w:spacing w:after="120" w:line="240" w:lineRule="auto"/>
              <w:ind w:left="432" w:hanging="274"/>
              <w:rPr>
                <w:b/>
              </w:rPr>
            </w:pPr>
            <w:r w:rsidRPr="00D13D4E">
              <w:rPr>
                <w:b/>
              </w:rPr>
              <w:t>eGovernance</w:t>
            </w:r>
            <w:r w:rsidR="002B7398" w:rsidRPr="00D13D4E">
              <w:rPr>
                <w:b/>
              </w:rPr>
              <w:t>:</w:t>
            </w:r>
          </w:p>
          <w:p w:rsidR="002B7398" w:rsidRPr="00D13D4E" w:rsidRDefault="002B7398" w:rsidP="00D17B38">
            <w:pPr>
              <w:pStyle w:val="NormalWeb"/>
              <w:numPr>
                <w:ilvl w:val="0"/>
                <w:numId w:val="9"/>
              </w:numPr>
              <w:spacing w:after="0" w:line="240" w:lineRule="auto"/>
              <w:ind w:hanging="293"/>
              <w:jc w:val="both"/>
              <w:rPr>
                <w:b/>
                <w:bCs/>
              </w:rPr>
            </w:pPr>
            <w:r w:rsidRPr="00D13D4E">
              <w:rPr>
                <w:rFonts w:asciiTheme="minorHAnsi" w:eastAsiaTheme="minorEastAsia" w:hAnsiTheme="minorHAnsi" w:cstheme="minorBidi"/>
                <w:b/>
                <w:bCs/>
                <w:kern w:val="0"/>
                <w:lang w:eastAsia="en-US"/>
              </w:rPr>
              <w:t>Community Service Centres in Missan</w:t>
            </w:r>
          </w:p>
          <w:p w:rsidR="002B7398" w:rsidRPr="00D13D4E" w:rsidRDefault="002B7398" w:rsidP="007126FE">
            <w:pPr>
              <w:ind w:left="697"/>
              <w:jc w:val="both"/>
              <w:rPr>
                <w:rFonts w:ascii="Calibri" w:hAnsi="Calibri"/>
                <w:bCs/>
                <w:szCs w:val="22"/>
              </w:rPr>
            </w:pPr>
            <w:r w:rsidRPr="00D13D4E">
              <w:rPr>
                <w:rFonts w:ascii="Calibri" w:hAnsi="Calibri"/>
                <w:bCs/>
                <w:szCs w:val="22"/>
              </w:rPr>
              <w:t xml:space="preserve">Discussion was made on the moving ahead in establishing the pilot Community Service </w:t>
            </w:r>
            <w:r w:rsidR="00463F55" w:rsidRPr="00D13D4E">
              <w:rPr>
                <w:rFonts w:ascii="Calibri" w:hAnsi="Calibri"/>
                <w:bCs/>
                <w:szCs w:val="22"/>
              </w:rPr>
              <w:t>Centres</w:t>
            </w:r>
            <w:r w:rsidRPr="00D13D4E">
              <w:rPr>
                <w:rFonts w:ascii="Calibri" w:hAnsi="Calibri"/>
                <w:bCs/>
                <w:szCs w:val="22"/>
              </w:rPr>
              <w:t xml:space="preserve"> as a one</w:t>
            </w:r>
            <w:r w:rsidRPr="00D13D4E">
              <w:rPr>
                <w:rFonts w:ascii="Calibri" w:hAnsi="Calibri"/>
                <w:bCs/>
                <w:szCs w:val="22"/>
                <w:rtl/>
              </w:rPr>
              <w:noBreakHyphen/>
            </w:r>
            <w:r w:rsidRPr="00D13D4E">
              <w:rPr>
                <w:rFonts w:ascii="Calibri" w:hAnsi="Calibri"/>
                <w:bCs/>
                <w:szCs w:val="22"/>
              </w:rPr>
              <w:t>stop service delivery shop. Though, it was agreed</w:t>
            </w:r>
            <w:r w:rsidRPr="00D13D4E">
              <w:rPr>
                <w:rFonts w:ascii="Calibri" w:hAnsi="Calibri"/>
                <w:bCs/>
                <w:szCs w:val="22"/>
                <w:rtl/>
              </w:rPr>
              <w:t xml:space="preserve"> </w:t>
            </w:r>
            <w:r w:rsidRPr="00D13D4E">
              <w:rPr>
                <w:rFonts w:ascii="Calibri" w:hAnsi="Calibri"/>
                <w:bCs/>
                <w:szCs w:val="22"/>
                <w:lang w:val="en-US"/>
              </w:rPr>
              <w:t xml:space="preserve">earlier </w:t>
            </w:r>
            <w:r w:rsidRPr="00D13D4E">
              <w:rPr>
                <w:rFonts w:ascii="Calibri" w:hAnsi="Calibri"/>
                <w:bCs/>
                <w:szCs w:val="22"/>
              </w:rPr>
              <w:t xml:space="preserve">that the service </w:t>
            </w:r>
            <w:r w:rsidR="00463F55" w:rsidRPr="00D13D4E">
              <w:rPr>
                <w:rFonts w:ascii="Calibri" w:hAnsi="Calibri"/>
                <w:bCs/>
                <w:szCs w:val="22"/>
              </w:rPr>
              <w:t>centres</w:t>
            </w:r>
            <w:r w:rsidRPr="00D13D4E">
              <w:rPr>
                <w:rFonts w:ascii="Calibri" w:hAnsi="Calibri"/>
                <w:bCs/>
                <w:szCs w:val="22"/>
              </w:rPr>
              <w:t xml:space="preserve"> will be hosted within existing structures throughout Iraq of Youth </w:t>
            </w:r>
            <w:r w:rsidR="00463F55" w:rsidRPr="00D13D4E">
              <w:rPr>
                <w:rFonts w:ascii="Calibri" w:hAnsi="Calibri"/>
                <w:bCs/>
                <w:szCs w:val="22"/>
              </w:rPr>
              <w:t>Centres</w:t>
            </w:r>
            <w:r w:rsidRPr="00D13D4E">
              <w:rPr>
                <w:rFonts w:ascii="Calibri" w:hAnsi="Calibri"/>
                <w:bCs/>
                <w:szCs w:val="22"/>
              </w:rPr>
              <w:t xml:space="preserve"> as a point of entry. The discussion was made with senior participants of Missan Diwan Governorate and the Ministry of Youth and Sport (MoYS) on the management structure, sustainability and operation plan. A joint committee was established for this regards and a check list was submitted to the committee for checking the preparation required for each youth centre to host the one-stop shop. </w:t>
            </w:r>
          </w:p>
          <w:p w:rsidR="002B7398" w:rsidRPr="00D13D4E" w:rsidRDefault="002B7398" w:rsidP="002B7398"/>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Migration plan for target directorate in Missan</w:t>
            </w:r>
          </w:p>
          <w:p w:rsidR="002B7398" w:rsidRPr="00D13D4E" w:rsidRDefault="002B7398" w:rsidP="00630037">
            <w:pPr>
              <w:ind w:left="697"/>
              <w:jc w:val="both"/>
              <w:rPr>
                <w:rFonts w:ascii="Calibri" w:hAnsi="Calibri"/>
                <w:bCs/>
                <w:szCs w:val="22"/>
              </w:rPr>
            </w:pPr>
            <w:r w:rsidRPr="00D13D4E">
              <w:rPr>
                <w:rFonts w:ascii="Calibri" w:hAnsi="Calibri"/>
                <w:bCs/>
                <w:szCs w:val="22"/>
              </w:rPr>
              <w:t xml:space="preserve">A site visit was conducted for the targeted directorates (Municipalities, Water, Agriculture, Education, Health and Governorate) assigned for executing the pilot e-services at the first stage. It was found that some actions by the local government need to be taken for enhancing the capacity of the administrative and technological e-readiness of the targeted sectorial directorates and the transformation plan.  </w:t>
            </w:r>
          </w:p>
          <w:p w:rsidR="002B7398" w:rsidRPr="00D13D4E" w:rsidRDefault="002B7398" w:rsidP="002B7398">
            <w:pPr>
              <w:jc w:val="both"/>
            </w:pPr>
          </w:p>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 xml:space="preserve">Missan Citizen Portal </w:t>
            </w:r>
          </w:p>
          <w:p w:rsidR="002B7398" w:rsidRPr="00D13D4E" w:rsidRDefault="002B7398" w:rsidP="007126FE">
            <w:pPr>
              <w:ind w:left="697"/>
              <w:jc w:val="both"/>
              <w:rPr>
                <w:rFonts w:ascii="Calibri" w:hAnsi="Calibri"/>
                <w:bCs/>
                <w:szCs w:val="22"/>
              </w:rPr>
            </w:pPr>
            <w:r w:rsidRPr="00D13D4E">
              <w:rPr>
                <w:rFonts w:ascii="Calibri" w:hAnsi="Calibri"/>
                <w:bCs/>
                <w:szCs w:val="22"/>
              </w:rPr>
              <w:t xml:space="preserve">Enhance the Governorate capacity by conducting managing and design a citizen portal workshop and developing of the portal content and information architecture required by citizen. This is another step to determine the content and information requirement for the citizen portal and enhance the team capacity that is assigned to portal operation prior to the e-Province automation and deployment. Though, a seven days’ workshop was conducted with 35 participants of various local directories. To this context a content architecture and classification was determined, along with tasks and responsibilities assigned to each directorate representatives. An online technical support is conducting for developing the portal content. </w:t>
            </w:r>
          </w:p>
          <w:p w:rsidR="002B7398" w:rsidRPr="00D13D4E" w:rsidRDefault="002B7398" w:rsidP="002B7398">
            <w:pPr>
              <w:pStyle w:val="ListParagraph"/>
              <w:spacing w:after="0" w:line="240" w:lineRule="auto"/>
              <w:ind w:left="0"/>
              <w:jc w:val="both"/>
            </w:pPr>
          </w:p>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e-Province tender technical evaluation - Missan</w:t>
            </w:r>
          </w:p>
          <w:p w:rsidR="002B7398" w:rsidRPr="00D13D4E" w:rsidRDefault="002B7398" w:rsidP="007126FE">
            <w:pPr>
              <w:ind w:left="697"/>
              <w:jc w:val="both"/>
              <w:rPr>
                <w:rFonts w:ascii="Calibri" w:hAnsi="Calibri"/>
                <w:bCs/>
                <w:szCs w:val="22"/>
              </w:rPr>
            </w:pPr>
            <w:r w:rsidRPr="00D13D4E">
              <w:rPr>
                <w:rFonts w:ascii="Calibri" w:hAnsi="Calibri"/>
                <w:bCs/>
                <w:szCs w:val="22"/>
              </w:rPr>
              <w:t xml:space="preserve">Support on technical evaluation was made on the e-Province bidding in Missan and support in drafted the evaluation criteria and technical evaluation document. </w:t>
            </w:r>
          </w:p>
          <w:p w:rsidR="002B7398" w:rsidRPr="00D13D4E" w:rsidRDefault="002B7398" w:rsidP="002B7398"/>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E-Province team - Missan</w:t>
            </w:r>
          </w:p>
          <w:p w:rsidR="002B7398" w:rsidRPr="00D13D4E" w:rsidRDefault="002B7398" w:rsidP="007126FE">
            <w:pPr>
              <w:ind w:left="697"/>
              <w:jc w:val="both"/>
              <w:rPr>
                <w:rFonts w:ascii="Calibri" w:hAnsi="Calibri"/>
                <w:bCs/>
                <w:szCs w:val="22"/>
              </w:rPr>
            </w:pPr>
            <w:r w:rsidRPr="00D13D4E">
              <w:rPr>
                <w:rFonts w:ascii="Calibri" w:hAnsi="Calibri"/>
                <w:bCs/>
                <w:szCs w:val="22"/>
              </w:rPr>
              <w:t xml:space="preserve">Support was provided to Missan Governorate in setting the e-Province team in the Diwan of Governorate. This was based on the discussion and agreement made during the first mission and the </w:t>
            </w:r>
            <w:r w:rsidRPr="00D13D4E">
              <w:rPr>
                <w:rFonts w:ascii="Calibri" w:hAnsi="Calibri"/>
                <w:bCs/>
                <w:szCs w:val="22"/>
              </w:rPr>
              <w:lastRenderedPageBreak/>
              <w:t xml:space="preserve">submitted detail team structure and mandates. A technical advice was provided in identifying and establishing the citizen portal and provided the direction for the team on how conducting the required tasks, as well as another technical advice was provided for establishing the e-services team  for following up the e-services execution. </w:t>
            </w:r>
          </w:p>
          <w:p w:rsidR="002B7398" w:rsidRPr="00D13D4E" w:rsidRDefault="002B7398" w:rsidP="007126FE">
            <w:pPr>
              <w:pStyle w:val="NormalWeb"/>
              <w:spacing w:after="0" w:line="240" w:lineRule="auto"/>
              <w:ind w:left="720"/>
              <w:jc w:val="both"/>
              <w:rPr>
                <w:rFonts w:asciiTheme="minorHAnsi" w:eastAsiaTheme="minorEastAsia" w:hAnsiTheme="minorHAnsi" w:cstheme="minorBidi"/>
                <w:b/>
                <w:bCs/>
                <w:kern w:val="0"/>
                <w:lang w:eastAsia="en-US"/>
              </w:rPr>
            </w:pPr>
          </w:p>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 xml:space="preserve">Basra Citizen Portal Workshop </w:t>
            </w:r>
          </w:p>
          <w:p w:rsidR="002B7398" w:rsidRPr="00D13D4E" w:rsidRDefault="002B7398" w:rsidP="00424AB9">
            <w:pPr>
              <w:ind w:left="697"/>
              <w:jc w:val="both"/>
              <w:rPr>
                <w:rFonts w:ascii="Calibri" w:hAnsi="Calibri"/>
                <w:bCs/>
                <w:szCs w:val="22"/>
              </w:rPr>
            </w:pPr>
            <w:r w:rsidRPr="00D13D4E">
              <w:rPr>
                <w:rFonts w:ascii="Calibri" w:hAnsi="Calibri"/>
                <w:bCs/>
                <w:szCs w:val="22"/>
              </w:rPr>
              <w:t>The first activity of 2015 Basra e-Gov</w:t>
            </w:r>
            <w:r w:rsidR="00150B2D" w:rsidRPr="00D13D4E">
              <w:rPr>
                <w:rFonts w:ascii="Calibri" w:hAnsi="Calibri"/>
                <w:bCs/>
                <w:szCs w:val="22"/>
              </w:rPr>
              <w:t>.</w:t>
            </w:r>
            <w:r w:rsidRPr="00D13D4E">
              <w:rPr>
                <w:rFonts w:ascii="Calibri" w:hAnsi="Calibri"/>
                <w:bCs/>
                <w:szCs w:val="22"/>
              </w:rPr>
              <w:t xml:space="preserve"> </w:t>
            </w:r>
            <w:r w:rsidR="00424AB9" w:rsidRPr="00D13D4E">
              <w:rPr>
                <w:rFonts w:ascii="Calibri" w:hAnsi="Calibri"/>
                <w:bCs/>
                <w:szCs w:val="22"/>
              </w:rPr>
              <w:t xml:space="preserve">work plan was implemented by conducting six-day </w:t>
            </w:r>
            <w:r w:rsidRPr="00D13D4E">
              <w:rPr>
                <w:rFonts w:ascii="Calibri" w:hAnsi="Calibri"/>
                <w:bCs/>
                <w:szCs w:val="22"/>
              </w:rPr>
              <w:t xml:space="preserve">workshop on Basra Citizen Portal with 30 participation of various Basra local organisations. The workshop enhanced the participants’ capacity on how to develop Basra Citizen Portal and its information architecture, the portal content and responsibilities of various organisation was identified. Furthermore the portal technical specification was drafted and submitted to Basra for their bidding process.  Follow up work was continued remotely online with Basra participants to develop the context of the portal content. </w:t>
            </w:r>
          </w:p>
          <w:p w:rsidR="002B7398" w:rsidRPr="00D13D4E" w:rsidRDefault="002B7398" w:rsidP="002B7398">
            <w:pPr>
              <w:jc w:val="both"/>
            </w:pPr>
          </w:p>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Project Management tracking system in Basra</w:t>
            </w:r>
          </w:p>
          <w:p w:rsidR="002B7398" w:rsidRPr="00D13D4E" w:rsidRDefault="002B7398" w:rsidP="007126FE">
            <w:pPr>
              <w:ind w:left="697"/>
              <w:jc w:val="both"/>
              <w:rPr>
                <w:rFonts w:ascii="Calibri" w:hAnsi="Calibri"/>
                <w:bCs/>
                <w:szCs w:val="22"/>
              </w:rPr>
            </w:pPr>
            <w:r w:rsidRPr="00D13D4E">
              <w:rPr>
                <w:rFonts w:ascii="Calibri" w:hAnsi="Calibri"/>
                <w:bCs/>
                <w:szCs w:val="22"/>
              </w:rPr>
              <w:t>A site visit was conducted in Basra Diwan Governorate for analysing as –is system aiming to identify the problems and bottlenecks in the Department of Projects Management to enhance the performance of this department. A follow up visit need to be conducted to capture more details on the processes, in order to draw a map of relations and possible re-engineering for business processes.</w:t>
            </w:r>
          </w:p>
          <w:p w:rsidR="002B7398" w:rsidRPr="00D13D4E" w:rsidRDefault="002B7398" w:rsidP="002B7398">
            <w:pPr>
              <w:ind w:left="596"/>
              <w:jc w:val="both"/>
              <w:rPr>
                <w:rFonts w:asciiTheme="minorHAnsi" w:hAnsiTheme="minorHAnsi"/>
                <w:bCs/>
                <w:szCs w:val="22"/>
              </w:rPr>
            </w:pPr>
          </w:p>
          <w:p w:rsidR="002B7398" w:rsidRPr="00D13D4E" w:rsidRDefault="002B7398" w:rsidP="00D17B38">
            <w:pPr>
              <w:pStyle w:val="NormalWeb"/>
              <w:numPr>
                <w:ilvl w:val="0"/>
                <w:numId w:val="9"/>
              </w:numPr>
              <w:spacing w:after="0" w:line="240" w:lineRule="auto"/>
              <w:jc w:val="both"/>
              <w:rPr>
                <w:rFonts w:asciiTheme="minorHAnsi" w:eastAsiaTheme="minorEastAsia" w:hAnsiTheme="minorHAnsi" w:cstheme="minorBidi"/>
                <w:b/>
                <w:bCs/>
                <w:kern w:val="0"/>
                <w:lang w:eastAsia="en-US"/>
              </w:rPr>
            </w:pPr>
            <w:r w:rsidRPr="00D13D4E">
              <w:rPr>
                <w:rFonts w:asciiTheme="minorHAnsi" w:eastAsiaTheme="minorEastAsia" w:hAnsiTheme="minorHAnsi" w:cstheme="minorBidi"/>
                <w:b/>
                <w:bCs/>
                <w:kern w:val="0"/>
                <w:lang w:eastAsia="en-US"/>
              </w:rPr>
              <w:t xml:space="preserve">Karbala e-Province meeting </w:t>
            </w:r>
          </w:p>
          <w:p w:rsidR="002B7398" w:rsidRPr="00D13D4E" w:rsidRDefault="002B7398" w:rsidP="007126FE">
            <w:pPr>
              <w:ind w:left="697"/>
              <w:jc w:val="both"/>
              <w:rPr>
                <w:rFonts w:ascii="Calibri" w:hAnsi="Calibri"/>
                <w:bCs/>
                <w:szCs w:val="22"/>
              </w:rPr>
            </w:pPr>
            <w:r w:rsidRPr="00D13D4E">
              <w:rPr>
                <w:rFonts w:ascii="Calibri" w:hAnsi="Calibri"/>
                <w:bCs/>
                <w:szCs w:val="22"/>
              </w:rPr>
              <w:t>A meeting was conducted with senior representatives of Karbala Governorate to provide an orientation session for introducing the e-Province model and how it can be adopted in the governorate in line with Karbala e-governance initiative. The meeting resulted on the agreement of technical support work-plan to support Karbala e-Province initiative on the basis of Karbala contribution to logistic and hardware and software cost. A field mission is planned in August 2015 by e-governance expert to the governorate to identify the e-readiness and the next steps toward the implementation of the e-Province initiative.</w:t>
            </w:r>
          </w:p>
          <w:p w:rsidR="00221D1A" w:rsidRPr="00D13D4E" w:rsidRDefault="00221D1A" w:rsidP="00BF42D7">
            <w:pPr>
              <w:spacing w:before="40" w:after="40"/>
              <w:rPr>
                <w:rFonts w:asciiTheme="minorHAnsi" w:hAnsiTheme="minorHAnsi"/>
                <w:b/>
                <w:bCs/>
                <w:szCs w:val="22"/>
                <w:lang w:val="en-US"/>
              </w:rPr>
            </w:pPr>
          </w:p>
          <w:p w:rsidR="00464732" w:rsidRPr="00D13D4E" w:rsidRDefault="008B416E" w:rsidP="00164C4E">
            <w:pPr>
              <w:spacing w:before="40" w:after="40"/>
              <w:ind w:left="162"/>
              <w:rPr>
                <w:rFonts w:asciiTheme="minorHAnsi" w:hAnsiTheme="minorHAnsi"/>
                <w:b/>
                <w:bCs/>
                <w:szCs w:val="22"/>
                <w:lang w:val="en-US"/>
              </w:rPr>
            </w:pPr>
            <w:r w:rsidRPr="00D13D4E">
              <w:rPr>
                <w:rFonts w:asciiTheme="minorHAnsi" w:hAnsiTheme="minorHAnsi"/>
                <w:b/>
                <w:bCs/>
                <w:szCs w:val="22"/>
                <w:lang w:val="en-US"/>
              </w:rPr>
              <w:t>UNHABITAT</w:t>
            </w:r>
          </w:p>
          <w:p w:rsidR="000B759F" w:rsidRPr="00D13D4E" w:rsidRDefault="000B759F" w:rsidP="00D17B38">
            <w:pPr>
              <w:pStyle w:val="ListParagraph"/>
              <w:numPr>
                <w:ilvl w:val="0"/>
                <w:numId w:val="5"/>
              </w:numPr>
              <w:spacing w:after="120" w:line="240" w:lineRule="auto"/>
              <w:ind w:left="432" w:hanging="274"/>
              <w:rPr>
                <w:bCs/>
              </w:rPr>
            </w:pPr>
            <w:r w:rsidRPr="00D13D4E">
              <w:rPr>
                <w:bCs/>
              </w:rPr>
              <w:t>Study Tour of Najaf Water Directorate took place in Turkey (Istanbul and Bursa)</w:t>
            </w:r>
            <w:r w:rsidR="00BE61AC" w:rsidRPr="00D13D4E">
              <w:rPr>
                <w:bCs/>
              </w:rPr>
              <w:t xml:space="preserve">.  </w:t>
            </w:r>
            <w:r w:rsidRPr="00D13D4E">
              <w:rPr>
                <w:bCs/>
              </w:rPr>
              <w:t xml:space="preserve">Participants of the Study Tour </w:t>
            </w:r>
            <w:r w:rsidR="004564F4" w:rsidRPr="00D13D4E">
              <w:rPr>
                <w:bCs/>
              </w:rPr>
              <w:t xml:space="preserve">included </w:t>
            </w:r>
            <w:r w:rsidRPr="00D13D4E">
              <w:rPr>
                <w:bCs/>
              </w:rPr>
              <w:t>the general manager of MMPW, general manager of Najaf water directorate, heads of technical, financial and planning departments. The concepts of the tour were focusing on the fooling topics, Current legal/administrative structure of water sector, Private sector participation options, Budgeting and Strategic Planning, Meter reading, billing and collection systems, Commercialization and revenue improvement programs, Customer support and public awareness ...etc.</w:t>
            </w:r>
          </w:p>
          <w:p w:rsidR="000B759F" w:rsidRPr="00D13D4E" w:rsidRDefault="000B759F" w:rsidP="00164C4E">
            <w:pPr>
              <w:spacing w:before="40" w:after="40"/>
              <w:ind w:left="162"/>
              <w:rPr>
                <w:rFonts w:asciiTheme="minorHAnsi" w:hAnsiTheme="minorHAnsi"/>
                <w:b/>
                <w:bCs/>
                <w:szCs w:val="22"/>
                <w:lang w:val="en-US"/>
              </w:rPr>
            </w:pPr>
          </w:p>
          <w:p w:rsidR="005577E3" w:rsidRPr="00D13D4E" w:rsidRDefault="005577E3" w:rsidP="005577E3">
            <w:pPr>
              <w:spacing w:before="40" w:after="40"/>
              <w:ind w:left="162"/>
              <w:rPr>
                <w:rFonts w:asciiTheme="minorHAnsi" w:hAnsiTheme="minorHAnsi"/>
                <w:b/>
                <w:bCs/>
                <w:szCs w:val="22"/>
                <w:lang w:val="en-US"/>
              </w:rPr>
            </w:pPr>
            <w:r w:rsidRPr="00D13D4E">
              <w:rPr>
                <w:rFonts w:asciiTheme="minorHAnsi" w:hAnsiTheme="minorHAnsi"/>
                <w:b/>
                <w:bCs/>
                <w:szCs w:val="22"/>
                <w:lang w:val="en-US"/>
              </w:rPr>
              <w:t>UNICEF</w:t>
            </w:r>
          </w:p>
          <w:p w:rsidR="00FD45C4" w:rsidRPr="00D13D4E" w:rsidRDefault="00D13D4E" w:rsidP="00D17B38">
            <w:pPr>
              <w:pStyle w:val="ListParagraph"/>
              <w:numPr>
                <w:ilvl w:val="0"/>
                <w:numId w:val="5"/>
              </w:numPr>
              <w:spacing w:after="120" w:line="240" w:lineRule="auto"/>
              <w:ind w:left="432" w:hanging="274"/>
              <w:rPr>
                <w:bCs/>
              </w:rPr>
            </w:pPr>
            <w:r w:rsidRPr="00D13D4E">
              <w:rPr>
                <w:bCs/>
              </w:rPr>
              <w:t>A m</w:t>
            </w:r>
            <w:r w:rsidR="00FD45C4" w:rsidRPr="00D13D4E">
              <w:rPr>
                <w:bCs/>
              </w:rPr>
              <w:t>eeting with CMWG</w:t>
            </w:r>
            <w:r w:rsidRPr="00D13D4E">
              <w:rPr>
                <w:bCs/>
              </w:rPr>
              <w:t xml:space="preserve"> was </w:t>
            </w:r>
            <w:r w:rsidR="00FD45C4" w:rsidRPr="00D13D4E">
              <w:rPr>
                <w:bCs/>
              </w:rPr>
              <w:t>held on 22 June 2015 and discussion on AWP 2015 and to overcome all constrains during implementation.</w:t>
            </w:r>
          </w:p>
          <w:p w:rsidR="00FD45C4" w:rsidRPr="00D13D4E" w:rsidRDefault="00FD45C4" w:rsidP="00D17B38">
            <w:pPr>
              <w:pStyle w:val="ListParagraph"/>
              <w:numPr>
                <w:ilvl w:val="0"/>
                <w:numId w:val="5"/>
              </w:numPr>
              <w:spacing w:after="120" w:line="240" w:lineRule="auto"/>
              <w:ind w:left="432" w:hanging="274"/>
              <w:rPr>
                <w:bCs/>
              </w:rPr>
            </w:pPr>
            <w:r w:rsidRPr="00D13D4E">
              <w:rPr>
                <w:bCs/>
              </w:rPr>
              <w:t>An MoU was signed between UNICEF-WASH program and Inter-Agency and Analysis Joint Unit (JAU) to conduct the Knowledge Management (KM) to build the capacity of MMPW and MoB entities.  The KM international consultant has conducted in this regards a two-day workshop on Intranet system for Knowledge Management project held in Baghdad at MMPW and MoB, respectively.  Twenty five participants representing KM Champions, concerned staff members from different departments in BWA and BWS, and Ministry web designer have all participated in the workshop.  Participants were requested at the end of the workshop to complete some KM forms within two weeks.</w:t>
            </w:r>
          </w:p>
          <w:p w:rsidR="00FD45C4" w:rsidRPr="00D13D4E" w:rsidRDefault="00FD45C4" w:rsidP="00D17B38">
            <w:pPr>
              <w:pStyle w:val="ListParagraph"/>
              <w:numPr>
                <w:ilvl w:val="0"/>
                <w:numId w:val="5"/>
              </w:numPr>
              <w:spacing w:after="120" w:line="240" w:lineRule="auto"/>
              <w:ind w:left="432" w:hanging="274"/>
              <w:rPr>
                <w:bCs/>
              </w:rPr>
            </w:pPr>
            <w:r w:rsidRPr="00D13D4E">
              <w:rPr>
                <w:bCs/>
              </w:rPr>
              <w:lastRenderedPageBreak/>
              <w:t xml:space="preserve">RFP documents on Environmental Management Drought Plan Guidelines submitted, invitations sent to potential firms, both technical and financial offers received and currently under evaluation process. </w:t>
            </w:r>
          </w:p>
          <w:p w:rsidR="00133504" w:rsidRPr="00D13D4E" w:rsidRDefault="00FD45C4" w:rsidP="00D17B38">
            <w:pPr>
              <w:pStyle w:val="ListParagraph"/>
              <w:numPr>
                <w:ilvl w:val="0"/>
                <w:numId w:val="5"/>
              </w:numPr>
              <w:spacing w:after="120" w:line="240" w:lineRule="auto"/>
              <w:ind w:left="432" w:hanging="274"/>
              <w:rPr>
                <w:bCs/>
              </w:rPr>
            </w:pPr>
            <w:r w:rsidRPr="00D13D4E">
              <w:rPr>
                <w:bCs/>
              </w:rPr>
              <w:t>The international consultant who conducted Development of a Strategy Report on Water Quality Management for Iraq will organize 1st workshop at national level through introduction of the National Framework for Water Quality Management after Ramadhan, initially in Baghdad.</w:t>
            </w:r>
          </w:p>
          <w:p w:rsidR="00D13D4E" w:rsidRPr="00D13D4E" w:rsidRDefault="00D13D4E" w:rsidP="005577E3">
            <w:pPr>
              <w:spacing w:before="40" w:after="40"/>
              <w:ind w:left="162"/>
              <w:rPr>
                <w:rFonts w:asciiTheme="minorHAnsi" w:hAnsiTheme="minorHAnsi"/>
                <w:b/>
                <w:bCs/>
                <w:szCs w:val="22"/>
                <w:lang w:val="en-US"/>
              </w:rPr>
            </w:pPr>
          </w:p>
          <w:p w:rsidR="00276B4A" w:rsidRPr="00D13D4E" w:rsidRDefault="00276B4A" w:rsidP="005577E3">
            <w:pPr>
              <w:spacing w:before="40" w:after="40"/>
              <w:ind w:left="162"/>
              <w:rPr>
                <w:rFonts w:asciiTheme="minorHAnsi" w:hAnsiTheme="minorHAnsi"/>
                <w:b/>
                <w:bCs/>
                <w:szCs w:val="22"/>
                <w:lang w:val="en-US"/>
              </w:rPr>
            </w:pPr>
            <w:r w:rsidRPr="00D13D4E">
              <w:rPr>
                <w:rFonts w:asciiTheme="minorHAnsi" w:hAnsiTheme="minorHAnsi"/>
                <w:b/>
                <w:bCs/>
                <w:szCs w:val="22"/>
                <w:lang w:val="en-US"/>
              </w:rPr>
              <w:t>UNWOMEN</w:t>
            </w:r>
          </w:p>
          <w:p w:rsidR="006F552A" w:rsidRPr="00D13D4E" w:rsidRDefault="004557FB" w:rsidP="00D17B38">
            <w:pPr>
              <w:pStyle w:val="ListParagraph"/>
              <w:numPr>
                <w:ilvl w:val="0"/>
                <w:numId w:val="5"/>
              </w:numPr>
              <w:spacing w:after="120" w:line="240" w:lineRule="auto"/>
              <w:ind w:left="432" w:hanging="274"/>
              <w:rPr>
                <w:rFonts w:asciiTheme="minorHAnsi" w:hAnsiTheme="minorHAnsi"/>
                <w:lang w:val="en-US"/>
              </w:rPr>
            </w:pPr>
            <w:r w:rsidRPr="00D13D4E">
              <w:rPr>
                <w:bCs/>
              </w:rPr>
              <w:t>With the framework of supporting local governance, a four-day in-depth workshop was initiated for Basra Governorate officials on “Main policy gaps in gender mainstreaming and gender indictors”.</w:t>
            </w:r>
          </w:p>
        </w:tc>
      </w:tr>
    </w:tbl>
    <w:p w:rsidR="00C77ACF" w:rsidRPr="00D13D4E" w:rsidRDefault="00C77AC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D16E0" w:rsidRPr="00D13D4E" w:rsidTr="00186364">
        <w:trPr>
          <w:jc w:val="center"/>
        </w:trPr>
        <w:tc>
          <w:tcPr>
            <w:tcW w:w="10080" w:type="dxa"/>
            <w:shd w:val="clear" w:color="auto" w:fill="D9D9D9"/>
          </w:tcPr>
          <w:p w:rsidR="00BC7C38" w:rsidRPr="00D13D4E" w:rsidRDefault="00E16CE7" w:rsidP="0061489B">
            <w:pPr>
              <w:spacing w:before="40" w:after="40"/>
              <w:rPr>
                <w:b/>
                <w:szCs w:val="22"/>
                <w:lang w:val="fr-FR"/>
              </w:rPr>
            </w:pPr>
            <w:r w:rsidRPr="00D13D4E">
              <w:rPr>
                <w:rFonts w:asciiTheme="minorHAnsi" w:hAnsiTheme="minorHAnsi"/>
                <w:b/>
                <w:bCs/>
                <w:szCs w:val="22"/>
                <w:lang w:val="en-US"/>
              </w:rPr>
              <w:t xml:space="preserve">Main implementation </w:t>
            </w:r>
            <w:r w:rsidR="0061489B" w:rsidRPr="00D13D4E">
              <w:rPr>
                <w:rFonts w:asciiTheme="minorHAnsi" w:hAnsiTheme="minorHAnsi"/>
                <w:b/>
                <w:bCs/>
                <w:szCs w:val="22"/>
                <w:lang w:val="en-US"/>
              </w:rPr>
              <w:t>C</w:t>
            </w:r>
            <w:r w:rsidRPr="00D13D4E">
              <w:rPr>
                <w:rFonts w:asciiTheme="minorHAnsi" w:hAnsiTheme="minorHAnsi"/>
                <w:b/>
                <w:bCs/>
                <w:szCs w:val="22"/>
                <w:lang w:val="en-US"/>
              </w:rPr>
              <w:t xml:space="preserve">onstraints and </w:t>
            </w:r>
            <w:r w:rsidR="0061489B" w:rsidRPr="00D13D4E">
              <w:rPr>
                <w:rFonts w:asciiTheme="minorHAnsi" w:hAnsiTheme="minorHAnsi"/>
                <w:b/>
                <w:bCs/>
                <w:szCs w:val="22"/>
                <w:lang w:val="en-US"/>
              </w:rPr>
              <w:t>C</w:t>
            </w:r>
            <w:r w:rsidRPr="00D13D4E">
              <w:rPr>
                <w:rFonts w:asciiTheme="minorHAnsi" w:hAnsiTheme="minorHAnsi"/>
                <w:b/>
                <w:bCs/>
                <w:szCs w:val="22"/>
                <w:lang w:val="en-US"/>
              </w:rPr>
              <w:t>hallenges</w:t>
            </w:r>
            <w:r w:rsidR="00BC7C38" w:rsidRPr="00D13D4E">
              <w:rPr>
                <w:b/>
                <w:szCs w:val="22"/>
                <w:lang w:val="fr-FR"/>
              </w:rPr>
              <w:t xml:space="preserve"> </w:t>
            </w:r>
          </w:p>
        </w:tc>
      </w:tr>
      <w:tr w:rsidR="00DD16E0" w:rsidRPr="00D13D4E" w:rsidTr="00186364">
        <w:trPr>
          <w:jc w:val="center"/>
        </w:trPr>
        <w:tc>
          <w:tcPr>
            <w:tcW w:w="10080" w:type="dxa"/>
          </w:tcPr>
          <w:p w:rsidR="007A216A" w:rsidRPr="00D13D4E" w:rsidRDefault="007A216A" w:rsidP="00D17B38">
            <w:pPr>
              <w:pStyle w:val="ListParagraph"/>
              <w:numPr>
                <w:ilvl w:val="0"/>
                <w:numId w:val="5"/>
              </w:numPr>
              <w:spacing w:after="120" w:line="240" w:lineRule="auto"/>
              <w:ind w:left="432" w:hanging="274"/>
              <w:rPr>
                <w:bCs/>
              </w:rPr>
            </w:pPr>
            <w:r w:rsidRPr="00D13D4E">
              <w:rPr>
                <w:bCs/>
              </w:rPr>
              <w:t>Prevailing security conditions and the collapse of some Iraqi cities in the hands of ISIS restricted the movement of international staff outside the Green zone that limited the possibility of engagement with Government counterparts, in addition to the mobilization of all national and international resources to encounter that danger</w:t>
            </w:r>
            <w:r w:rsidR="007313D6" w:rsidRPr="00D13D4E">
              <w:rPr>
                <w:bCs/>
              </w:rPr>
              <w:t>.</w:t>
            </w:r>
            <w:r w:rsidR="007D500F" w:rsidRPr="00D13D4E">
              <w:rPr>
                <w:bCs/>
              </w:rPr>
              <w:t xml:space="preserve">  It also negatively impacted on the willingness of some international consultants to work in Iraq.</w:t>
            </w:r>
          </w:p>
          <w:p w:rsidR="007A216A" w:rsidRPr="00D13D4E" w:rsidRDefault="007A216A" w:rsidP="00D17B38">
            <w:pPr>
              <w:pStyle w:val="ListParagraph"/>
              <w:numPr>
                <w:ilvl w:val="0"/>
                <w:numId w:val="5"/>
              </w:numPr>
              <w:spacing w:after="120" w:line="240" w:lineRule="auto"/>
              <w:ind w:left="432" w:hanging="274"/>
              <w:rPr>
                <w:bCs/>
              </w:rPr>
            </w:pPr>
            <w:r w:rsidRPr="00D13D4E">
              <w:rPr>
                <w:bCs/>
              </w:rPr>
              <w:t>Unavailability of the parallel funding</w:t>
            </w:r>
            <w:r w:rsidR="000B1499" w:rsidRPr="00D13D4E">
              <w:rPr>
                <w:bCs/>
              </w:rPr>
              <w:t>/ cost sharing</w:t>
            </w:r>
            <w:r w:rsidRPr="00D13D4E">
              <w:rPr>
                <w:bCs/>
              </w:rPr>
              <w:t xml:space="preserve"> has been still an issue that impeded UN Participating Organizations from implementing 2015 PAR AWP joint activities as planned</w:t>
            </w:r>
            <w:r w:rsidR="002B2ED7" w:rsidRPr="00D13D4E">
              <w:rPr>
                <w:bCs/>
              </w:rPr>
              <w:t>.</w:t>
            </w:r>
          </w:p>
          <w:p w:rsidR="007A216A" w:rsidRPr="00D13D4E" w:rsidRDefault="007A216A" w:rsidP="00D17B38">
            <w:pPr>
              <w:pStyle w:val="ListParagraph"/>
              <w:numPr>
                <w:ilvl w:val="0"/>
                <w:numId w:val="5"/>
              </w:numPr>
              <w:spacing w:after="120" w:line="240" w:lineRule="auto"/>
              <w:ind w:left="432" w:hanging="274"/>
              <w:rPr>
                <w:bCs/>
              </w:rPr>
            </w:pPr>
            <w:r w:rsidRPr="00D13D4E">
              <w:rPr>
                <w:bCs/>
              </w:rPr>
              <w:t>As highlighted in the previous reports, Entry Visa to Iraq for internationally recruited consultants has been still an issue that resulted in further delaying if not cancelling missions to Baghdad.</w:t>
            </w:r>
          </w:p>
          <w:p w:rsidR="007A216A" w:rsidRPr="00D13D4E" w:rsidRDefault="007A216A" w:rsidP="00D17B38">
            <w:pPr>
              <w:pStyle w:val="ListParagraph"/>
              <w:numPr>
                <w:ilvl w:val="0"/>
                <w:numId w:val="5"/>
              </w:numPr>
              <w:spacing w:after="120" w:line="240" w:lineRule="auto"/>
              <w:ind w:left="432" w:hanging="274"/>
              <w:rPr>
                <w:bCs/>
              </w:rPr>
            </w:pPr>
            <w:r w:rsidRPr="00D13D4E">
              <w:rPr>
                <w:bCs/>
              </w:rPr>
              <w:t>K-PSM has been still on hold by KRG and also challenged by absence of the financial resources needed for implementation.</w:t>
            </w:r>
          </w:p>
          <w:p w:rsidR="007A216A" w:rsidRPr="00D13D4E" w:rsidRDefault="007A216A" w:rsidP="00D17B38">
            <w:pPr>
              <w:pStyle w:val="ListParagraph"/>
              <w:numPr>
                <w:ilvl w:val="0"/>
                <w:numId w:val="5"/>
              </w:numPr>
              <w:spacing w:after="120" w:line="240" w:lineRule="auto"/>
              <w:ind w:left="432" w:hanging="274"/>
              <w:rPr>
                <w:bCs/>
              </w:rPr>
            </w:pPr>
            <w:r w:rsidRPr="00D13D4E">
              <w:rPr>
                <w:bCs/>
              </w:rPr>
              <w:t>The implementation of IPSM activities at the local level is adversely impacted by the prevailing security conditions</w:t>
            </w:r>
            <w:r w:rsidR="007313D6" w:rsidRPr="00D13D4E">
              <w:rPr>
                <w:bCs/>
              </w:rPr>
              <w:t xml:space="preserve"> on the ground</w:t>
            </w:r>
            <w:r w:rsidRPr="00D13D4E">
              <w:rPr>
                <w:bCs/>
              </w:rPr>
              <w:t>.</w:t>
            </w:r>
          </w:p>
          <w:p w:rsidR="007A216A" w:rsidRPr="00D13D4E" w:rsidRDefault="007A216A" w:rsidP="00D17B38">
            <w:pPr>
              <w:pStyle w:val="ListParagraph"/>
              <w:numPr>
                <w:ilvl w:val="0"/>
                <w:numId w:val="5"/>
              </w:numPr>
              <w:spacing w:after="120" w:line="240" w:lineRule="auto"/>
              <w:ind w:left="432" w:hanging="274"/>
              <w:rPr>
                <w:bCs/>
              </w:rPr>
            </w:pPr>
            <w:r w:rsidRPr="00D13D4E">
              <w:rPr>
                <w:bCs/>
              </w:rPr>
              <w:t xml:space="preserve">KRG is still hesitant in pushing K-PSM into approval process </w:t>
            </w:r>
          </w:p>
          <w:p w:rsidR="00814429" w:rsidRPr="00D13D4E" w:rsidRDefault="007A216A" w:rsidP="00D17B38">
            <w:pPr>
              <w:pStyle w:val="ListParagraph"/>
              <w:numPr>
                <w:ilvl w:val="0"/>
                <w:numId w:val="5"/>
              </w:numPr>
              <w:spacing w:after="120" w:line="240" w:lineRule="auto"/>
              <w:ind w:left="432" w:hanging="274"/>
              <w:rPr>
                <w:bCs/>
              </w:rPr>
            </w:pPr>
            <w:r w:rsidRPr="00D13D4E">
              <w:rPr>
                <w:bCs/>
              </w:rPr>
              <w:t xml:space="preserve">Scarcity of resources </w:t>
            </w:r>
            <w:r w:rsidR="000B1499" w:rsidRPr="00D13D4E">
              <w:rPr>
                <w:bCs/>
              </w:rPr>
              <w:t xml:space="preserve">has already </w:t>
            </w:r>
            <w:r w:rsidRPr="00D13D4E">
              <w:rPr>
                <w:bCs/>
              </w:rPr>
              <w:t>interrupt</w:t>
            </w:r>
            <w:r w:rsidR="000B1499" w:rsidRPr="00D13D4E">
              <w:rPr>
                <w:bCs/>
              </w:rPr>
              <w:t>ed</w:t>
            </w:r>
            <w:r w:rsidRPr="00D13D4E">
              <w:rPr>
                <w:bCs/>
              </w:rPr>
              <w:t xml:space="preserve"> rolling out the models developed by the UN Participating Organizations; “School-Based Management”, “Gender Responsive Budgeting”, “Decentralized Water Management”, “Knowledge Management in CSO”, “Simplification of Service Delivery”, etc.    </w:t>
            </w:r>
          </w:p>
          <w:p w:rsidR="007804C5" w:rsidRPr="00D13D4E" w:rsidRDefault="00814429" w:rsidP="00D17B38">
            <w:pPr>
              <w:pStyle w:val="ListParagraph"/>
              <w:numPr>
                <w:ilvl w:val="0"/>
                <w:numId w:val="5"/>
              </w:numPr>
              <w:spacing w:after="120" w:line="240" w:lineRule="auto"/>
              <w:ind w:left="432" w:hanging="274"/>
              <w:rPr>
                <w:bCs/>
              </w:rPr>
            </w:pPr>
            <w:r w:rsidRPr="00D13D4E">
              <w:rPr>
                <w:bCs/>
              </w:rPr>
              <w:t>The delay in receiving the feedback and comments from the governmental side on draft reports (UNICEF)</w:t>
            </w:r>
          </w:p>
          <w:p w:rsidR="00ED512A" w:rsidRPr="00D13D4E" w:rsidRDefault="007804C5" w:rsidP="00D17B38">
            <w:pPr>
              <w:pStyle w:val="ListParagraph"/>
              <w:numPr>
                <w:ilvl w:val="0"/>
                <w:numId w:val="5"/>
              </w:numPr>
              <w:spacing w:after="120" w:line="240" w:lineRule="auto"/>
              <w:ind w:left="432" w:hanging="274"/>
              <w:rPr>
                <w:bCs/>
              </w:rPr>
            </w:pPr>
            <w:r w:rsidRPr="00D13D4E">
              <w:rPr>
                <w:bCs/>
              </w:rPr>
              <w:t>Very limited number of available accommodation slots in Baghdad (UNESCO)</w:t>
            </w:r>
          </w:p>
          <w:p w:rsidR="00DC18AC" w:rsidRPr="00D13D4E" w:rsidRDefault="000E320B" w:rsidP="00D17B38">
            <w:pPr>
              <w:pStyle w:val="ListParagraph"/>
              <w:numPr>
                <w:ilvl w:val="0"/>
                <w:numId w:val="5"/>
              </w:numPr>
              <w:spacing w:after="120" w:line="240" w:lineRule="auto"/>
              <w:ind w:left="432" w:hanging="274"/>
              <w:rPr>
                <w:bCs/>
              </w:rPr>
            </w:pPr>
            <w:r w:rsidRPr="00D13D4E">
              <w:rPr>
                <w:bCs/>
              </w:rPr>
              <w:t xml:space="preserve">The </w:t>
            </w:r>
            <w:r w:rsidR="00E63D88" w:rsidRPr="00D13D4E">
              <w:rPr>
                <w:bCs/>
              </w:rPr>
              <w:t xml:space="preserve">existence of two parallel committees, I-PSM &amp; PAR, </w:t>
            </w:r>
            <w:r w:rsidRPr="00D13D4E">
              <w:rPr>
                <w:bCs/>
              </w:rPr>
              <w:t>in M</w:t>
            </w:r>
            <w:r w:rsidR="00A23AD1" w:rsidRPr="00D13D4E">
              <w:rPr>
                <w:bCs/>
              </w:rPr>
              <w:t>o</w:t>
            </w:r>
            <w:r w:rsidRPr="00D13D4E">
              <w:rPr>
                <w:bCs/>
              </w:rPr>
              <w:t xml:space="preserve">H </w:t>
            </w:r>
            <w:r w:rsidR="00E63D88" w:rsidRPr="00D13D4E">
              <w:rPr>
                <w:bCs/>
              </w:rPr>
              <w:t>is still impeding the efficient implementation of 2015 AWP activists. (WHO)</w:t>
            </w:r>
          </w:p>
          <w:p w:rsidR="00A23AD1" w:rsidRPr="00D13D4E" w:rsidRDefault="00DC18AC" w:rsidP="00D17B38">
            <w:pPr>
              <w:pStyle w:val="ListParagraph"/>
              <w:numPr>
                <w:ilvl w:val="0"/>
                <w:numId w:val="5"/>
              </w:numPr>
              <w:spacing w:after="120" w:line="240" w:lineRule="auto"/>
              <w:ind w:left="432" w:hanging="274"/>
              <w:rPr>
                <w:bCs/>
              </w:rPr>
            </w:pPr>
            <w:r w:rsidRPr="00D13D4E">
              <w:rPr>
                <w:bCs/>
              </w:rPr>
              <w:t xml:space="preserve">Taking GRB to the decision-making level is still a challenge for UNW. </w:t>
            </w:r>
            <w:r w:rsidR="00D13D4E" w:rsidRPr="00D13D4E">
              <w:rPr>
                <w:bCs/>
              </w:rPr>
              <w:t xml:space="preserve"> </w:t>
            </w:r>
            <w:r w:rsidRPr="00D13D4E">
              <w:rPr>
                <w:bCs/>
              </w:rPr>
              <w:t>Budgeting, like anywhere, is a political exercise and in order for GRB interventions to be included in the policy cycle, there must be political will for that.  (UNW)</w:t>
            </w:r>
          </w:p>
          <w:p w:rsidR="00A23AD1" w:rsidRPr="00D13D4E" w:rsidRDefault="00A23AD1" w:rsidP="00D17B38">
            <w:pPr>
              <w:pStyle w:val="ListParagraph"/>
              <w:numPr>
                <w:ilvl w:val="0"/>
                <w:numId w:val="5"/>
              </w:numPr>
              <w:spacing w:after="120" w:line="240" w:lineRule="auto"/>
              <w:ind w:left="432" w:hanging="274"/>
              <w:rPr>
                <w:bCs/>
              </w:rPr>
            </w:pPr>
            <w:r w:rsidRPr="00D13D4E">
              <w:rPr>
                <w:bCs/>
              </w:rPr>
              <w:t xml:space="preserve">The </w:t>
            </w:r>
            <w:r w:rsidR="00AA4D3E" w:rsidRPr="00D13D4E">
              <w:rPr>
                <w:bCs/>
              </w:rPr>
              <w:t xml:space="preserve">enactment of law 21 by </w:t>
            </w:r>
            <w:r w:rsidRPr="00D13D4E">
              <w:rPr>
                <w:bCs/>
              </w:rPr>
              <w:t xml:space="preserve">August </w:t>
            </w:r>
            <w:r w:rsidR="00AA4D3E" w:rsidRPr="00D13D4E">
              <w:rPr>
                <w:bCs/>
              </w:rPr>
              <w:t xml:space="preserve">this year </w:t>
            </w:r>
            <w:r w:rsidRPr="00D13D4E">
              <w:rPr>
                <w:bCs/>
              </w:rPr>
              <w:t>will redefine the relationship between the M</w:t>
            </w:r>
            <w:r w:rsidR="00AA4D3E" w:rsidRPr="00D13D4E">
              <w:rPr>
                <w:bCs/>
              </w:rPr>
              <w:t>o</w:t>
            </w:r>
            <w:r w:rsidRPr="00D13D4E">
              <w:rPr>
                <w:bCs/>
              </w:rPr>
              <w:t>E and the DoEs and may a</w:t>
            </w:r>
            <w:r w:rsidR="00AA4D3E" w:rsidRPr="00D13D4E">
              <w:rPr>
                <w:bCs/>
              </w:rPr>
              <w:t>ffect the implementation of 2015 AWP activities</w:t>
            </w:r>
            <w:r w:rsidRPr="00D13D4E">
              <w:rPr>
                <w:bCs/>
              </w:rPr>
              <w:t>. (UNICEF)</w:t>
            </w:r>
          </w:p>
          <w:p w:rsidR="00A23AD1" w:rsidRPr="00D13D4E" w:rsidRDefault="00A23AD1" w:rsidP="00A23AD1">
            <w:pPr>
              <w:spacing w:after="120"/>
              <w:rPr>
                <w:bCs/>
              </w:rPr>
            </w:pPr>
          </w:p>
        </w:tc>
      </w:tr>
      <w:tr w:rsidR="00DD16E0" w:rsidRPr="00D13D4E" w:rsidTr="00186364">
        <w:trPr>
          <w:jc w:val="center"/>
        </w:trPr>
        <w:tc>
          <w:tcPr>
            <w:tcW w:w="10080" w:type="dxa"/>
            <w:shd w:val="clear" w:color="auto" w:fill="4F81BD"/>
          </w:tcPr>
          <w:p w:rsidR="00A10A89" w:rsidRPr="00D13D4E" w:rsidRDefault="00A10A89" w:rsidP="00BC7C38">
            <w:pPr>
              <w:rPr>
                <w:szCs w:val="22"/>
              </w:rPr>
            </w:pPr>
          </w:p>
        </w:tc>
      </w:tr>
    </w:tbl>
    <w:p w:rsidR="00654685" w:rsidRPr="00D13D4E" w:rsidRDefault="00654685"/>
    <w:sectPr w:rsidR="00654685" w:rsidRPr="00D13D4E" w:rsidSect="00C3547B">
      <w:footerReference w:type="default" r:id="rId8"/>
      <w:pgSz w:w="11907" w:h="16839" w:code="9"/>
      <w:pgMar w:top="540" w:right="18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B9" w:rsidRDefault="00F327B9" w:rsidP="00B528D9">
      <w:r>
        <w:separator/>
      </w:r>
    </w:p>
  </w:endnote>
  <w:endnote w:type="continuationSeparator" w:id="0">
    <w:p w:rsidR="00F327B9" w:rsidRDefault="00F327B9" w:rsidP="00B5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00000000" w:usb1="D200FDFF" w:usb2="0A046029" w:usb3="00000000" w:csb0="000001FF" w:csb1="00000000"/>
  </w:font>
  <w:font w:name="font267">
    <w:altName w:val="MS Mincho"/>
    <w:charset w:val="8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565278"/>
      <w:docPartObj>
        <w:docPartGallery w:val="Page Numbers (Bottom of Page)"/>
        <w:docPartUnique/>
      </w:docPartObj>
    </w:sdtPr>
    <w:sdtEndPr>
      <w:rPr>
        <w:noProof/>
      </w:rPr>
    </w:sdtEndPr>
    <w:sdtContent>
      <w:p w:rsidR="00791D22" w:rsidRDefault="00791D22">
        <w:pPr>
          <w:pStyle w:val="Footer"/>
          <w:jc w:val="right"/>
        </w:pPr>
        <w:r>
          <w:fldChar w:fldCharType="begin"/>
        </w:r>
        <w:r>
          <w:instrText xml:space="preserve"> PAGE   \* MERGEFORMAT </w:instrText>
        </w:r>
        <w:r>
          <w:fldChar w:fldCharType="separate"/>
        </w:r>
        <w:r w:rsidR="00C239F3">
          <w:rPr>
            <w:noProof/>
          </w:rPr>
          <w:t>1</w:t>
        </w:r>
        <w:r>
          <w:rPr>
            <w:noProof/>
          </w:rPr>
          <w:fldChar w:fldCharType="end"/>
        </w:r>
      </w:p>
    </w:sdtContent>
  </w:sdt>
  <w:p w:rsidR="00791D22" w:rsidRDefault="007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B9" w:rsidRDefault="00F327B9" w:rsidP="00B528D9">
      <w:r>
        <w:separator/>
      </w:r>
    </w:p>
  </w:footnote>
  <w:footnote w:type="continuationSeparator" w:id="0">
    <w:p w:rsidR="00F327B9" w:rsidRDefault="00F327B9" w:rsidP="00B528D9">
      <w:r>
        <w:continuationSeparator/>
      </w:r>
    </w:p>
  </w:footnote>
  <w:footnote w:id="1">
    <w:p w:rsidR="00791D22" w:rsidRPr="00B97963" w:rsidRDefault="00791D22" w:rsidP="008F0D47">
      <w:pPr>
        <w:pStyle w:val="FootnoteText"/>
        <w:rPr>
          <w:rFonts w:ascii="Calibri" w:hAnsi="Calibri"/>
          <w:lang w:val="en-US"/>
        </w:rPr>
      </w:pPr>
      <w:r w:rsidRPr="00B97963">
        <w:rPr>
          <w:rStyle w:val="FootnoteReference"/>
          <w:rFonts w:ascii="Calibri" w:hAnsi="Calibri"/>
        </w:rPr>
        <w:footnoteRef/>
      </w:r>
      <w:r w:rsidRPr="00B97963">
        <w:rPr>
          <w:rFonts w:ascii="Calibri" w:hAnsi="Calibri"/>
        </w:rPr>
        <w:t xml:space="preserve"> </w:t>
      </w:r>
      <w:r w:rsidRPr="00B97963">
        <w:rPr>
          <w:rFonts w:ascii="Calibri" w:hAnsi="Calibri"/>
          <w:lang w:val="en-US"/>
        </w:rPr>
        <w:t>This activity is retained for the KR component of PSM only.  The NPSMSC has decided on its March 4</w:t>
      </w:r>
      <w:r w:rsidRPr="00B97963">
        <w:rPr>
          <w:rFonts w:ascii="Calibri" w:hAnsi="Calibri"/>
          <w:vertAlign w:val="superscript"/>
          <w:lang w:val="en-US"/>
        </w:rPr>
        <w:t>th</w:t>
      </w:r>
      <w:r w:rsidRPr="00B97963">
        <w:rPr>
          <w:rFonts w:ascii="Calibri" w:hAnsi="Calibri"/>
          <w:lang w:val="en-US"/>
        </w:rPr>
        <w:t xml:space="preserve"> meeting to refrain from including Urban Governance activities for 2013 interventions at federal level.</w:t>
      </w:r>
    </w:p>
  </w:footnote>
  <w:footnote w:id="2">
    <w:p w:rsidR="00791D22" w:rsidRPr="00A04DBB" w:rsidRDefault="00791D22" w:rsidP="00A04DBB">
      <w:pPr>
        <w:pStyle w:val="FootnoteText"/>
        <w:rPr>
          <w:rFonts w:ascii="Calibri" w:hAnsi="Calibri"/>
        </w:rPr>
      </w:pPr>
      <w:r w:rsidRPr="00A04DBB">
        <w:rPr>
          <w:rStyle w:val="FootnoteReference"/>
          <w:rFonts w:ascii="Calibri" w:hAnsi="Calibri"/>
        </w:rPr>
        <w:footnoteRef/>
      </w:r>
      <w:r w:rsidRPr="00A04DBB">
        <w:rPr>
          <w:rFonts w:ascii="Calibri" w:hAnsi="Calibri"/>
        </w:rPr>
        <w:t xml:space="preserve"> UNFPA financial data </w:t>
      </w:r>
      <w:r>
        <w:rPr>
          <w:rFonts w:ascii="Calibri" w:hAnsi="Calibri"/>
        </w:rPr>
        <w:t xml:space="preserve">on total disbursement and commitment </w:t>
      </w:r>
      <w:r w:rsidRPr="00A04DBB">
        <w:rPr>
          <w:rFonts w:ascii="Calibri" w:hAnsi="Calibri"/>
        </w:rPr>
        <w:t xml:space="preserve">are being checked as contradictory data </w:t>
      </w:r>
      <w:r>
        <w:rPr>
          <w:rFonts w:ascii="Calibri" w:hAnsi="Calibri"/>
        </w:rPr>
        <w:t>were</w:t>
      </w:r>
      <w:r w:rsidRPr="00A04DBB">
        <w:rPr>
          <w:rFonts w:ascii="Calibri" w:hAnsi="Calibri"/>
        </w:rPr>
        <w:t xml:space="preserve"> received  </w:t>
      </w:r>
    </w:p>
  </w:footnote>
  <w:footnote w:id="3">
    <w:p w:rsidR="00791D22" w:rsidRPr="00791D22" w:rsidRDefault="00791D22" w:rsidP="00DA7038">
      <w:pPr>
        <w:rPr>
          <w:rFonts w:ascii="Calibri" w:hAnsi="Calibri"/>
          <w:lang w:val="en-US"/>
        </w:rPr>
      </w:pPr>
      <w:r w:rsidRPr="00791D22">
        <w:rPr>
          <w:rStyle w:val="FootnoteReference"/>
          <w:rFonts w:ascii="Calibri" w:hAnsi="Calibri"/>
        </w:rPr>
        <w:footnoteRef/>
      </w:r>
      <w:r w:rsidRPr="00791D22">
        <w:rPr>
          <w:rFonts w:ascii="Calibri" w:hAnsi="Calibri"/>
        </w:rPr>
        <w:t xml:space="preserve"> </w:t>
      </w:r>
      <w:r w:rsidRPr="00791D22">
        <w:rPr>
          <w:rFonts w:ascii="Calibri" w:hAnsi="Calibri"/>
          <w:szCs w:val="22"/>
        </w:rPr>
        <w:t>Government employees (including teachers for MoE and MoHESR), Students enrolled in all education levels in Iraq including KRG and Parent/teachers associations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E51BA"/>
    <w:multiLevelType w:val="hybridMultilevel"/>
    <w:tmpl w:val="3E10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12D29"/>
    <w:multiLevelType w:val="hybridMultilevel"/>
    <w:tmpl w:val="896EE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31116"/>
    <w:multiLevelType w:val="hybridMultilevel"/>
    <w:tmpl w:val="2D6E2DA0"/>
    <w:lvl w:ilvl="0" w:tplc="DA2A38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41FB2"/>
    <w:multiLevelType w:val="hybridMultilevel"/>
    <w:tmpl w:val="3CECBE1A"/>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221CBA"/>
    <w:multiLevelType w:val="hybridMultilevel"/>
    <w:tmpl w:val="2D6E2DA0"/>
    <w:lvl w:ilvl="0" w:tplc="DA2A38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61604"/>
    <w:multiLevelType w:val="hybridMultilevel"/>
    <w:tmpl w:val="B712AA4C"/>
    <w:lvl w:ilvl="0" w:tplc="04090003">
      <w:start w:val="1"/>
      <w:numFmt w:val="bullet"/>
      <w:lvlText w:val="o"/>
      <w:lvlJc w:val="left"/>
      <w:pPr>
        <w:ind w:left="1417" w:hanging="360"/>
      </w:pPr>
      <w:rPr>
        <w:rFonts w:ascii="Courier New" w:hAnsi="Courier New" w:cs="Courier New"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6">
    <w:nsid w:val="32966530"/>
    <w:multiLevelType w:val="hybridMultilevel"/>
    <w:tmpl w:val="5FF6D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E3DA8"/>
    <w:multiLevelType w:val="hybridMultilevel"/>
    <w:tmpl w:val="1B8C19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425"/>
    <w:multiLevelType w:val="multilevel"/>
    <w:tmpl w:val="7560885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F7C172B"/>
    <w:multiLevelType w:val="hybridMultilevel"/>
    <w:tmpl w:val="12FEDF90"/>
    <w:lvl w:ilvl="0" w:tplc="1E4A6958">
      <w:start w:val="1"/>
      <w:numFmt w:val="decimal"/>
      <w:lvlText w:val="%1."/>
      <w:lvlJc w:val="left"/>
      <w:pPr>
        <w:ind w:left="1316" w:hanging="360"/>
      </w:pPr>
      <w:rPr>
        <w:b/>
        <w:bCs w:val="0"/>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num w:numId="1">
    <w:abstractNumId w:val="0"/>
  </w:num>
  <w:num w:numId="2">
    <w:abstractNumId w:val="8"/>
  </w:num>
  <w:num w:numId="3">
    <w:abstractNumId w:val="6"/>
  </w:num>
  <w:num w:numId="4">
    <w:abstractNumId w:val="1"/>
  </w:num>
  <w:num w:numId="5">
    <w:abstractNumId w:val="3"/>
  </w:num>
  <w:num w:numId="6">
    <w:abstractNumId w:val="2"/>
  </w:num>
  <w:num w:numId="7">
    <w:abstractNumId w:val="9"/>
  </w:num>
  <w:num w:numId="8">
    <w:abstractNumId w:val="7"/>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CF"/>
    <w:rsid w:val="00001508"/>
    <w:rsid w:val="00001D2E"/>
    <w:rsid w:val="00002805"/>
    <w:rsid w:val="000052CD"/>
    <w:rsid w:val="000055F9"/>
    <w:rsid w:val="00005FC7"/>
    <w:rsid w:val="000063D5"/>
    <w:rsid w:val="0000643D"/>
    <w:rsid w:val="00006FB9"/>
    <w:rsid w:val="00007899"/>
    <w:rsid w:val="00011394"/>
    <w:rsid w:val="000117AA"/>
    <w:rsid w:val="000124B0"/>
    <w:rsid w:val="000124BC"/>
    <w:rsid w:val="0001281F"/>
    <w:rsid w:val="00013FDB"/>
    <w:rsid w:val="0001579F"/>
    <w:rsid w:val="00015B1C"/>
    <w:rsid w:val="00017266"/>
    <w:rsid w:val="00017EE4"/>
    <w:rsid w:val="000203FF"/>
    <w:rsid w:val="000204DA"/>
    <w:rsid w:val="000212E7"/>
    <w:rsid w:val="00022535"/>
    <w:rsid w:val="0002393A"/>
    <w:rsid w:val="000258AF"/>
    <w:rsid w:val="000261FE"/>
    <w:rsid w:val="00026358"/>
    <w:rsid w:val="0002746E"/>
    <w:rsid w:val="00032031"/>
    <w:rsid w:val="000330CC"/>
    <w:rsid w:val="00033C1E"/>
    <w:rsid w:val="00033E90"/>
    <w:rsid w:val="00034481"/>
    <w:rsid w:val="00034AE5"/>
    <w:rsid w:val="00035670"/>
    <w:rsid w:val="0003581F"/>
    <w:rsid w:val="00035ADB"/>
    <w:rsid w:val="00035C80"/>
    <w:rsid w:val="000375D0"/>
    <w:rsid w:val="00040337"/>
    <w:rsid w:val="00040516"/>
    <w:rsid w:val="00040B56"/>
    <w:rsid w:val="000435E9"/>
    <w:rsid w:val="0004439F"/>
    <w:rsid w:val="000444A6"/>
    <w:rsid w:val="00046144"/>
    <w:rsid w:val="00050B2E"/>
    <w:rsid w:val="000521A9"/>
    <w:rsid w:val="00054734"/>
    <w:rsid w:val="00055754"/>
    <w:rsid w:val="000567C5"/>
    <w:rsid w:val="00056A78"/>
    <w:rsid w:val="00057A4F"/>
    <w:rsid w:val="00057D96"/>
    <w:rsid w:val="00060B7E"/>
    <w:rsid w:val="000610F8"/>
    <w:rsid w:val="000616CB"/>
    <w:rsid w:val="000616E3"/>
    <w:rsid w:val="00061A2C"/>
    <w:rsid w:val="00062348"/>
    <w:rsid w:val="0006275D"/>
    <w:rsid w:val="00063524"/>
    <w:rsid w:val="00063C3B"/>
    <w:rsid w:val="000643D1"/>
    <w:rsid w:val="00064A81"/>
    <w:rsid w:val="00064B90"/>
    <w:rsid w:val="000650C0"/>
    <w:rsid w:val="00065593"/>
    <w:rsid w:val="00066D62"/>
    <w:rsid w:val="0007039C"/>
    <w:rsid w:val="00070A3B"/>
    <w:rsid w:val="00070DF9"/>
    <w:rsid w:val="00071CAC"/>
    <w:rsid w:val="00071F37"/>
    <w:rsid w:val="000720A8"/>
    <w:rsid w:val="00075CF3"/>
    <w:rsid w:val="00077B83"/>
    <w:rsid w:val="00080796"/>
    <w:rsid w:val="00080F60"/>
    <w:rsid w:val="00083E1B"/>
    <w:rsid w:val="00084B91"/>
    <w:rsid w:val="00085DB1"/>
    <w:rsid w:val="000869F0"/>
    <w:rsid w:val="000870CC"/>
    <w:rsid w:val="00087F28"/>
    <w:rsid w:val="00091366"/>
    <w:rsid w:val="00091AFC"/>
    <w:rsid w:val="000922C5"/>
    <w:rsid w:val="00092936"/>
    <w:rsid w:val="00092EF7"/>
    <w:rsid w:val="00093C38"/>
    <w:rsid w:val="00094E28"/>
    <w:rsid w:val="00095D3F"/>
    <w:rsid w:val="0009601E"/>
    <w:rsid w:val="00096336"/>
    <w:rsid w:val="000966A0"/>
    <w:rsid w:val="000A1C2F"/>
    <w:rsid w:val="000A1D48"/>
    <w:rsid w:val="000A2B01"/>
    <w:rsid w:val="000A358B"/>
    <w:rsid w:val="000A404E"/>
    <w:rsid w:val="000A4379"/>
    <w:rsid w:val="000A4B41"/>
    <w:rsid w:val="000A52CE"/>
    <w:rsid w:val="000A5347"/>
    <w:rsid w:val="000B13C4"/>
    <w:rsid w:val="000B1499"/>
    <w:rsid w:val="000B209C"/>
    <w:rsid w:val="000B25D1"/>
    <w:rsid w:val="000B318C"/>
    <w:rsid w:val="000B3EC0"/>
    <w:rsid w:val="000B5671"/>
    <w:rsid w:val="000B578C"/>
    <w:rsid w:val="000B57F4"/>
    <w:rsid w:val="000B61A4"/>
    <w:rsid w:val="000B61A6"/>
    <w:rsid w:val="000B65C5"/>
    <w:rsid w:val="000B6706"/>
    <w:rsid w:val="000B6866"/>
    <w:rsid w:val="000B6B20"/>
    <w:rsid w:val="000B6BDF"/>
    <w:rsid w:val="000B759F"/>
    <w:rsid w:val="000C33C6"/>
    <w:rsid w:val="000C41B8"/>
    <w:rsid w:val="000C5D7C"/>
    <w:rsid w:val="000C6413"/>
    <w:rsid w:val="000C6E4A"/>
    <w:rsid w:val="000C72A2"/>
    <w:rsid w:val="000D1A45"/>
    <w:rsid w:val="000D1AFA"/>
    <w:rsid w:val="000D21E0"/>
    <w:rsid w:val="000D2F10"/>
    <w:rsid w:val="000D47A1"/>
    <w:rsid w:val="000D4F4D"/>
    <w:rsid w:val="000D52D2"/>
    <w:rsid w:val="000D69ED"/>
    <w:rsid w:val="000D74FA"/>
    <w:rsid w:val="000D7876"/>
    <w:rsid w:val="000E091E"/>
    <w:rsid w:val="000E0F0B"/>
    <w:rsid w:val="000E302F"/>
    <w:rsid w:val="000E320B"/>
    <w:rsid w:val="000E3941"/>
    <w:rsid w:val="000E41CE"/>
    <w:rsid w:val="000E41F0"/>
    <w:rsid w:val="000E4E2B"/>
    <w:rsid w:val="000E5F6F"/>
    <w:rsid w:val="000E75C5"/>
    <w:rsid w:val="000E7F36"/>
    <w:rsid w:val="000F0E59"/>
    <w:rsid w:val="000F30DD"/>
    <w:rsid w:val="000F56EF"/>
    <w:rsid w:val="000F575D"/>
    <w:rsid w:val="000F673C"/>
    <w:rsid w:val="000F6ED7"/>
    <w:rsid w:val="0010368D"/>
    <w:rsid w:val="0010551D"/>
    <w:rsid w:val="0010641D"/>
    <w:rsid w:val="00111E72"/>
    <w:rsid w:val="0011206D"/>
    <w:rsid w:val="0011224D"/>
    <w:rsid w:val="001131AF"/>
    <w:rsid w:val="001150AC"/>
    <w:rsid w:val="00117936"/>
    <w:rsid w:val="00117E4C"/>
    <w:rsid w:val="001204E3"/>
    <w:rsid w:val="001213AB"/>
    <w:rsid w:val="00121527"/>
    <w:rsid w:val="00121EBF"/>
    <w:rsid w:val="00122405"/>
    <w:rsid w:val="0012249C"/>
    <w:rsid w:val="00124C5F"/>
    <w:rsid w:val="001256B6"/>
    <w:rsid w:val="001301A3"/>
    <w:rsid w:val="001304CA"/>
    <w:rsid w:val="00130EB0"/>
    <w:rsid w:val="001312A1"/>
    <w:rsid w:val="0013153D"/>
    <w:rsid w:val="00133504"/>
    <w:rsid w:val="00135108"/>
    <w:rsid w:val="00135B83"/>
    <w:rsid w:val="00135F3B"/>
    <w:rsid w:val="00136449"/>
    <w:rsid w:val="00140030"/>
    <w:rsid w:val="00140256"/>
    <w:rsid w:val="00141188"/>
    <w:rsid w:val="001425EF"/>
    <w:rsid w:val="00142600"/>
    <w:rsid w:val="001440B1"/>
    <w:rsid w:val="0014465C"/>
    <w:rsid w:val="001449A2"/>
    <w:rsid w:val="00145424"/>
    <w:rsid w:val="001454F2"/>
    <w:rsid w:val="00145EDC"/>
    <w:rsid w:val="00146987"/>
    <w:rsid w:val="00147470"/>
    <w:rsid w:val="00147F53"/>
    <w:rsid w:val="001506D5"/>
    <w:rsid w:val="00150B2D"/>
    <w:rsid w:val="0015293E"/>
    <w:rsid w:val="00152A27"/>
    <w:rsid w:val="00153247"/>
    <w:rsid w:val="00154AD8"/>
    <w:rsid w:val="00154C6C"/>
    <w:rsid w:val="00156FA1"/>
    <w:rsid w:val="0015760C"/>
    <w:rsid w:val="0016002F"/>
    <w:rsid w:val="00160CFC"/>
    <w:rsid w:val="00160E0A"/>
    <w:rsid w:val="001619AC"/>
    <w:rsid w:val="00161FC2"/>
    <w:rsid w:val="00162F99"/>
    <w:rsid w:val="00164073"/>
    <w:rsid w:val="00164511"/>
    <w:rsid w:val="00164C4E"/>
    <w:rsid w:val="00164CE9"/>
    <w:rsid w:val="00166590"/>
    <w:rsid w:val="001671FC"/>
    <w:rsid w:val="001714F6"/>
    <w:rsid w:val="001717C2"/>
    <w:rsid w:val="00172339"/>
    <w:rsid w:val="0017388F"/>
    <w:rsid w:val="00174060"/>
    <w:rsid w:val="001741DA"/>
    <w:rsid w:val="0017465B"/>
    <w:rsid w:val="001747A1"/>
    <w:rsid w:val="00175B1B"/>
    <w:rsid w:val="00180222"/>
    <w:rsid w:val="00181EBE"/>
    <w:rsid w:val="00183503"/>
    <w:rsid w:val="00183713"/>
    <w:rsid w:val="00184A5F"/>
    <w:rsid w:val="00186364"/>
    <w:rsid w:val="0018654F"/>
    <w:rsid w:val="00186B03"/>
    <w:rsid w:val="00186CCC"/>
    <w:rsid w:val="0019005C"/>
    <w:rsid w:val="00190C73"/>
    <w:rsid w:val="001916FC"/>
    <w:rsid w:val="00192B25"/>
    <w:rsid w:val="00193076"/>
    <w:rsid w:val="0019321C"/>
    <w:rsid w:val="0019375F"/>
    <w:rsid w:val="001946FF"/>
    <w:rsid w:val="001948C4"/>
    <w:rsid w:val="00194B0F"/>
    <w:rsid w:val="001954E2"/>
    <w:rsid w:val="001A0A73"/>
    <w:rsid w:val="001A0ED7"/>
    <w:rsid w:val="001A1C2A"/>
    <w:rsid w:val="001A2D84"/>
    <w:rsid w:val="001A492F"/>
    <w:rsid w:val="001A505A"/>
    <w:rsid w:val="001A5D3D"/>
    <w:rsid w:val="001A650F"/>
    <w:rsid w:val="001A774B"/>
    <w:rsid w:val="001A7BB8"/>
    <w:rsid w:val="001B00A5"/>
    <w:rsid w:val="001B0AA9"/>
    <w:rsid w:val="001B0BD4"/>
    <w:rsid w:val="001B1841"/>
    <w:rsid w:val="001B2B6B"/>
    <w:rsid w:val="001B322A"/>
    <w:rsid w:val="001B5E58"/>
    <w:rsid w:val="001B6229"/>
    <w:rsid w:val="001B7238"/>
    <w:rsid w:val="001B76D1"/>
    <w:rsid w:val="001B7FD0"/>
    <w:rsid w:val="001C0484"/>
    <w:rsid w:val="001C2352"/>
    <w:rsid w:val="001C35D9"/>
    <w:rsid w:val="001C543D"/>
    <w:rsid w:val="001C5586"/>
    <w:rsid w:val="001C5C77"/>
    <w:rsid w:val="001C5CF0"/>
    <w:rsid w:val="001C5EA1"/>
    <w:rsid w:val="001C6074"/>
    <w:rsid w:val="001C661C"/>
    <w:rsid w:val="001C685D"/>
    <w:rsid w:val="001C7242"/>
    <w:rsid w:val="001D009F"/>
    <w:rsid w:val="001D13C1"/>
    <w:rsid w:val="001D3623"/>
    <w:rsid w:val="001D4ECF"/>
    <w:rsid w:val="001D6B35"/>
    <w:rsid w:val="001D72CD"/>
    <w:rsid w:val="001E04CC"/>
    <w:rsid w:val="001E140D"/>
    <w:rsid w:val="001E1484"/>
    <w:rsid w:val="001E2051"/>
    <w:rsid w:val="001E2057"/>
    <w:rsid w:val="001E2CCD"/>
    <w:rsid w:val="001E39DD"/>
    <w:rsid w:val="001E44D8"/>
    <w:rsid w:val="001E5200"/>
    <w:rsid w:val="001E62A0"/>
    <w:rsid w:val="001E632D"/>
    <w:rsid w:val="001E648E"/>
    <w:rsid w:val="001E64AD"/>
    <w:rsid w:val="001E66C6"/>
    <w:rsid w:val="001E6BA6"/>
    <w:rsid w:val="001E73D9"/>
    <w:rsid w:val="001F5222"/>
    <w:rsid w:val="001F53BE"/>
    <w:rsid w:val="001F5554"/>
    <w:rsid w:val="001F627D"/>
    <w:rsid w:val="001F62AB"/>
    <w:rsid w:val="001F63DA"/>
    <w:rsid w:val="001F79DC"/>
    <w:rsid w:val="002001FE"/>
    <w:rsid w:val="00200453"/>
    <w:rsid w:val="002004FC"/>
    <w:rsid w:val="00201BE4"/>
    <w:rsid w:val="00202CA9"/>
    <w:rsid w:val="00203258"/>
    <w:rsid w:val="0020383C"/>
    <w:rsid w:val="002048F0"/>
    <w:rsid w:val="002059D5"/>
    <w:rsid w:val="00205C37"/>
    <w:rsid w:val="002104C0"/>
    <w:rsid w:val="00210E1E"/>
    <w:rsid w:val="0021145F"/>
    <w:rsid w:val="00211542"/>
    <w:rsid w:val="00211E81"/>
    <w:rsid w:val="00213CFF"/>
    <w:rsid w:val="002162EA"/>
    <w:rsid w:val="0021641E"/>
    <w:rsid w:val="002168ED"/>
    <w:rsid w:val="0021732F"/>
    <w:rsid w:val="00217A3F"/>
    <w:rsid w:val="002200EF"/>
    <w:rsid w:val="00220BFC"/>
    <w:rsid w:val="00220CD1"/>
    <w:rsid w:val="00221279"/>
    <w:rsid w:val="0022152E"/>
    <w:rsid w:val="00221D1A"/>
    <w:rsid w:val="00222B67"/>
    <w:rsid w:val="00222FD1"/>
    <w:rsid w:val="00223756"/>
    <w:rsid w:val="00223D09"/>
    <w:rsid w:val="002250C8"/>
    <w:rsid w:val="00226FCF"/>
    <w:rsid w:val="00230759"/>
    <w:rsid w:val="00234656"/>
    <w:rsid w:val="0024088E"/>
    <w:rsid w:val="00241928"/>
    <w:rsid w:val="00242992"/>
    <w:rsid w:val="002432BA"/>
    <w:rsid w:val="00245080"/>
    <w:rsid w:val="002457C6"/>
    <w:rsid w:val="00245864"/>
    <w:rsid w:val="002460B4"/>
    <w:rsid w:val="002466A0"/>
    <w:rsid w:val="002505DB"/>
    <w:rsid w:val="00250630"/>
    <w:rsid w:val="00250B3D"/>
    <w:rsid w:val="00250E28"/>
    <w:rsid w:val="002516C1"/>
    <w:rsid w:val="002530FD"/>
    <w:rsid w:val="00253F62"/>
    <w:rsid w:val="00254702"/>
    <w:rsid w:val="002547A2"/>
    <w:rsid w:val="00256614"/>
    <w:rsid w:val="00256625"/>
    <w:rsid w:val="00260335"/>
    <w:rsid w:val="002604E9"/>
    <w:rsid w:val="00260526"/>
    <w:rsid w:val="0026299A"/>
    <w:rsid w:val="002636DB"/>
    <w:rsid w:val="00263BD5"/>
    <w:rsid w:val="0027114A"/>
    <w:rsid w:val="00271B3A"/>
    <w:rsid w:val="00271EB8"/>
    <w:rsid w:val="0027240D"/>
    <w:rsid w:val="00272FD4"/>
    <w:rsid w:val="00272FE7"/>
    <w:rsid w:val="002731C9"/>
    <w:rsid w:val="00274259"/>
    <w:rsid w:val="0027477E"/>
    <w:rsid w:val="00274C7E"/>
    <w:rsid w:val="002751CF"/>
    <w:rsid w:val="00275593"/>
    <w:rsid w:val="00275E06"/>
    <w:rsid w:val="00275E18"/>
    <w:rsid w:val="00276B4A"/>
    <w:rsid w:val="0027733E"/>
    <w:rsid w:val="0028066C"/>
    <w:rsid w:val="0028110D"/>
    <w:rsid w:val="00284062"/>
    <w:rsid w:val="00285C9D"/>
    <w:rsid w:val="00285D5D"/>
    <w:rsid w:val="0028627A"/>
    <w:rsid w:val="0028637B"/>
    <w:rsid w:val="002872D3"/>
    <w:rsid w:val="00287F37"/>
    <w:rsid w:val="002903C5"/>
    <w:rsid w:val="002909A1"/>
    <w:rsid w:val="00291175"/>
    <w:rsid w:val="002912C4"/>
    <w:rsid w:val="002927A6"/>
    <w:rsid w:val="00294022"/>
    <w:rsid w:val="00294544"/>
    <w:rsid w:val="00295503"/>
    <w:rsid w:val="00295ADD"/>
    <w:rsid w:val="002970B7"/>
    <w:rsid w:val="00297370"/>
    <w:rsid w:val="00297E2B"/>
    <w:rsid w:val="002A0AF2"/>
    <w:rsid w:val="002A1056"/>
    <w:rsid w:val="002A25FC"/>
    <w:rsid w:val="002A2761"/>
    <w:rsid w:val="002A432F"/>
    <w:rsid w:val="002A6FC9"/>
    <w:rsid w:val="002B0F9A"/>
    <w:rsid w:val="002B1646"/>
    <w:rsid w:val="002B1921"/>
    <w:rsid w:val="002B2C0E"/>
    <w:rsid w:val="002B2D23"/>
    <w:rsid w:val="002B2ED7"/>
    <w:rsid w:val="002B52C0"/>
    <w:rsid w:val="002B55D0"/>
    <w:rsid w:val="002B6493"/>
    <w:rsid w:val="002B6ABC"/>
    <w:rsid w:val="002B6B7D"/>
    <w:rsid w:val="002B71C0"/>
    <w:rsid w:val="002B7398"/>
    <w:rsid w:val="002C00BE"/>
    <w:rsid w:val="002C154A"/>
    <w:rsid w:val="002C1864"/>
    <w:rsid w:val="002C1ED5"/>
    <w:rsid w:val="002C2E84"/>
    <w:rsid w:val="002C3036"/>
    <w:rsid w:val="002C4637"/>
    <w:rsid w:val="002C63FA"/>
    <w:rsid w:val="002C6915"/>
    <w:rsid w:val="002C75C0"/>
    <w:rsid w:val="002C7603"/>
    <w:rsid w:val="002C7FCB"/>
    <w:rsid w:val="002D0E76"/>
    <w:rsid w:val="002D1409"/>
    <w:rsid w:val="002D1A58"/>
    <w:rsid w:val="002D29DD"/>
    <w:rsid w:val="002D33A9"/>
    <w:rsid w:val="002D561F"/>
    <w:rsid w:val="002D579B"/>
    <w:rsid w:val="002D5DC1"/>
    <w:rsid w:val="002D6717"/>
    <w:rsid w:val="002D6EB5"/>
    <w:rsid w:val="002D7657"/>
    <w:rsid w:val="002E09EC"/>
    <w:rsid w:val="002E0B12"/>
    <w:rsid w:val="002E2EEC"/>
    <w:rsid w:val="002E3CE2"/>
    <w:rsid w:val="002E46BD"/>
    <w:rsid w:val="002E5574"/>
    <w:rsid w:val="002E5AB7"/>
    <w:rsid w:val="002E5BB9"/>
    <w:rsid w:val="002E6BED"/>
    <w:rsid w:val="002E71DB"/>
    <w:rsid w:val="002E763F"/>
    <w:rsid w:val="002E7711"/>
    <w:rsid w:val="002E7BC8"/>
    <w:rsid w:val="002F23D0"/>
    <w:rsid w:val="002F412C"/>
    <w:rsid w:val="002F6252"/>
    <w:rsid w:val="002F62CD"/>
    <w:rsid w:val="002F7FF6"/>
    <w:rsid w:val="00301B41"/>
    <w:rsid w:val="00302CC0"/>
    <w:rsid w:val="00302D2F"/>
    <w:rsid w:val="003048B0"/>
    <w:rsid w:val="00306AB7"/>
    <w:rsid w:val="00312161"/>
    <w:rsid w:val="00312291"/>
    <w:rsid w:val="00312BF1"/>
    <w:rsid w:val="0031354F"/>
    <w:rsid w:val="00313E82"/>
    <w:rsid w:val="00320026"/>
    <w:rsid w:val="0032060F"/>
    <w:rsid w:val="00321438"/>
    <w:rsid w:val="0032155D"/>
    <w:rsid w:val="0032315A"/>
    <w:rsid w:val="00323A6F"/>
    <w:rsid w:val="00324976"/>
    <w:rsid w:val="00324B93"/>
    <w:rsid w:val="00327F68"/>
    <w:rsid w:val="00330C40"/>
    <w:rsid w:val="00330E32"/>
    <w:rsid w:val="00331535"/>
    <w:rsid w:val="0033361D"/>
    <w:rsid w:val="00333CB4"/>
    <w:rsid w:val="003350CC"/>
    <w:rsid w:val="00335775"/>
    <w:rsid w:val="0033604C"/>
    <w:rsid w:val="00336F17"/>
    <w:rsid w:val="00337389"/>
    <w:rsid w:val="00345423"/>
    <w:rsid w:val="00345727"/>
    <w:rsid w:val="00345F8A"/>
    <w:rsid w:val="00347406"/>
    <w:rsid w:val="003518CB"/>
    <w:rsid w:val="00352030"/>
    <w:rsid w:val="0035211A"/>
    <w:rsid w:val="003521F0"/>
    <w:rsid w:val="003523D2"/>
    <w:rsid w:val="00352ED0"/>
    <w:rsid w:val="003538E7"/>
    <w:rsid w:val="00354E74"/>
    <w:rsid w:val="00356D27"/>
    <w:rsid w:val="003603BE"/>
    <w:rsid w:val="003626F4"/>
    <w:rsid w:val="00362D2A"/>
    <w:rsid w:val="003634B3"/>
    <w:rsid w:val="00363977"/>
    <w:rsid w:val="00364A2E"/>
    <w:rsid w:val="00364E76"/>
    <w:rsid w:val="00365C5D"/>
    <w:rsid w:val="00365E6A"/>
    <w:rsid w:val="0037088A"/>
    <w:rsid w:val="003712C4"/>
    <w:rsid w:val="00371F54"/>
    <w:rsid w:val="0037433A"/>
    <w:rsid w:val="00375080"/>
    <w:rsid w:val="0037711B"/>
    <w:rsid w:val="003779D4"/>
    <w:rsid w:val="00381601"/>
    <w:rsid w:val="00381611"/>
    <w:rsid w:val="00381CAD"/>
    <w:rsid w:val="003824A6"/>
    <w:rsid w:val="00382F46"/>
    <w:rsid w:val="003848FA"/>
    <w:rsid w:val="00386C90"/>
    <w:rsid w:val="003871E7"/>
    <w:rsid w:val="00390C7E"/>
    <w:rsid w:val="00390E09"/>
    <w:rsid w:val="00390E41"/>
    <w:rsid w:val="0039134A"/>
    <w:rsid w:val="003926AE"/>
    <w:rsid w:val="0039366A"/>
    <w:rsid w:val="0039667C"/>
    <w:rsid w:val="00396F69"/>
    <w:rsid w:val="003979ED"/>
    <w:rsid w:val="003A02F9"/>
    <w:rsid w:val="003A0B93"/>
    <w:rsid w:val="003A1E11"/>
    <w:rsid w:val="003A2030"/>
    <w:rsid w:val="003A28EA"/>
    <w:rsid w:val="003A2EDC"/>
    <w:rsid w:val="003A31D6"/>
    <w:rsid w:val="003A3328"/>
    <w:rsid w:val="003A4D45"/>
    <w:rsid w:val="003A5148"/>
    <w:rsid w:val="003A6126"/>
    <w:rsid w:val="003A76B6"/>
    <w:rsid w:val="003A7FA1"/>
    <w:rsid w:val="003B001A"/>
    <w:rsid w:val="003B0F44"/>
    <w:rsid w:val="003B1420"/>
    <w:rsid w:val="003B1C4C"/>
    <w:rsid w:val="003B28DB"/>
    <w:rsid w:val="003B33D4"/>
    <w:rsid w:val="003B5AAA"/>
    <w:rsid w:val="003B6079"/>
    <w:rsid w:val="003B6C62"/>
    <w:rsid w:val="003C0007"/>
    <w:rsid w:val="003C05E3"/>
    <w:rsid w:val="003C0E2C"/>
    <w:rsid w:val="003C3FF1"/>
    <w:rsid w:val="003C4420"/>
    <w:rsid w:val="003C73E4"/>
    <w:rsid w:val="003D0CF8"/>
    <w:rsid w:val="003D0FAD"/>
    <w:rsid w:val="003D1453"/>
    <w:rsid w:val="003D3DE1"/>
    <w:rsid w:val="003D3EAE"/>
    <w:rsid w:val="003D51AB"/>
    <w:rsid w:val="003D5341"/>
    <w:rsid w:val="003D5D68"/>
    <w:rsid w:val="003D6365"/>
    <w:rsid w:val="003D7507"/>
    <w:rsid w:val="003D798D"/>
    <w:rsid w:val="003E02A4"/>
    <w:rsid w:val="003E1EC2"/>
    <w:rsid w:val="003E2436"/>
    <w:rsid w:val="003E428E"/>
    <w:rsid w:val="003E4B00"/>
    <w:rsid w:val="003E634A"/>
    <w:rsid w:val="003E6574"/>
    <w:rsid w:val="003E68E8"/>
    <w:rsid w:val="003E6B2B"/>
    <w:rsid w:val="003F02EF"/>
    <w:rsid w:val="003F05B1"/>
    <w:rsid w:val="003F3ED2"/>
    <w:rsid w:val="003F4BCB"/>
    <w:rsid w:val="003F6242"/>
    <w:rsid w:val="003F6B72"/>
    <w:rsid w:val="00400121"/>
    <w:rsid w:val="00400847"/>
    <w:rsid w:val="00402CCE"/>
    <w:rsid w:val="004041F3"/>
    <w:rsid w:val="00404943"/>
    <w:rsid w:val="00405B04"/>
    <w:rsid w:val="00406313"/>
    <w:rsid w:val="00406510"/>
    <w:rsid w:val="00406DBC"/>
    <w:rsid w:val="00410967"/>
    <w:rsid w:val="00410CF9"/>
    <w:rsid w:val="00413721"/>
    <w:rsid w:val="0041704E"/>
    <w:rsid w:val="00417A4E"/>
    <w:rsid w:val="004203E9"/>
    <w:rsid w:val="00420FB3"/>
    <w:rsid w:val="0042257F"/>
    <w:rsid w:val="00422856"/>
    <w:rsid w:val="0042320D"/>
    <w:rsid w:val="00423F35"/>
    <w:rsid w:val="00424AB9"/>
    <w:rsid w:val="00424ED9"/>
    <w:rsid w:val="004251A3"/>
    <w:rsid w:val="004261FF"/>
    <w:rsid w:val="0042650D"/>
    <w:rsid w:val="00427AB0"/>
    <w:rsid w:val="00430BD8"/>
    <w:rsid w:val="0043101D"/>
    <w:rsid w:val="0043151A"/>
    <w:rsid w:val="00436638"/>
    <w:rsid w:val="0044008A"/>
    <w:rsid w:val="00440C6E"/>
    <w:rsid w:val="0044180D"/>
    <w:rsid w:val="00442000"/>
    <w:rsid w:val="004424A7"/>
    <w:rsid w:val="00442856"/>
    <w:rsid w:val="00442A04"/>
    <w:rsid w:val="00443CB2"/>
    <w:rsid w:val="00443F3C"/>
    <w:rsid w:val="00444278"/>
    <w:rsid w:val="00445D4A"/>
    <w:rsid w:val="00446480"/>
    <w:rsid w:val="0044699C"/>
    <w:rsid w:val="00447E7F"/>
    <w:rsid w:val="00451188"/>
    <w:rsid w:val="004515C9"/>
    <w:rsid w:val="00452506"/>
    <w:rsid w:val="004527EC"/>
    <w:rsid w:val="00453345"/>
    <w:rsid w:val="00453C6F"/>
    <w:rsid w:val="00454A10"/>
    <w:rsid w:val="00454C27"/>
    <w:rsid w:val="004557FB"/>
    <w:rsid w:val="00455FC8"/>
    <w:rsid w:val="004564F4"/>
    <w:rsid w:val="00456D1B"/>
    <w:rsid w:val="004616AE"/>
    <w:rsid w:val="004635F6"/>
    <w:rsid w:val="00463F55"/>
    <w:rsid w:val="00464732"/>
    <w:rsid w:val="00464B28"/>
    <w:rsid w:val="00465BC4"/>
    <w:rsid w:val="00465C5A"/>
    <w:rsid w:val="00465EBB"/>
    <w:rsid w:val="004670F0"/>
    <w:rsid w:val="004670F7"/>
    <w:rsid w:val="0046798D"/>
    <w:rsid w:val="00470179"/>
    <w:rsid w:val="004714BE"/>
    <w:rsid w:val="00471528"/>
    <w:rsid w:val="00471D06"/>
    <w:rsid w:val="00471E0B"/>
    <w:rsid w:val="00473A78"/>
    <w:rsid w:val="0047400F"/>
    <w:rsid w:val="00474170"/>
    <w:rsid w:val="004741AB"/>
    <w:rsid w:val="004745CB"/>
    <w:rsid w:val="00474861"/>
    <w:rsid w:val="00474E8D"/>
    <w:rsid w:val="00475E29"/>
    <w:rsid w:val="004767DE"/>
    <w:rsid w:val="004769A7"/>
    <w:rsid w:val="0048384B"/>
    <w:rsid w:val="00484794"/>
    <w:rsid w:val="004949CB"/>
    <w:rsid w:val="0049551E"/>
    <w:rsid w:val="00496288"/>
    <w:rsid w:val="004964F3"/>
    <w:rsid w:val="00496ECC"/>
    <w:rsid w:val="004A1067"/>
    <w:rsid w:val="004A1532"/>
    <w:rsid w:val="004A18BE"/>
    <w:rsid w:val="004A2DA1"/>
    <w:rsid w:val="004A2ECD"/>
    <w:rsid w:val="004A3E59"/>
    <w:rsid w:val="004A420D"/>
    <w:rsid w:val="004A45D0"/>
    <w:rsid w:val="004A473B"/>
    <w:rsid w:val="004A4B28"/>
    <w:rsid w:val="004A5704"/>
    <w:rsid w:val="004A5BF8"/>
    <w:rsid w:val="004A5F57"/>
    <w:rsid w:val="004A66F0"/>
    <w:rsid w:val="004B135C"/>
    <w:rsid w:val="004B1EE7"/>
    <w:rsid w:val="004B35C8"/>
    <w:rsid w:val="004B4F23"/>
    <w:rsid w:val="004B6DE8"/>
    <w:rsid w:val="004B783D"/>
    <w:rsid w:val="004B7F73"/>
    <w:rsid w:val="004B7FB1"/>
    <w:rsid w:val="004C2435"/>
    <w:rsid w:val="004C2DE9"/>
    <w:rsid w:val="004C3DF0"/>
    <w:rsid w:val="004C6769"/>
    <w:rsid w:val="004C73FA"/>
    <w:rsid w:val="004C7ADC"/>
    <w:rsid w:val="004D18E9"/>
    <w:rsid w:val="004D2A3C"/>
    <w:rsid w:val="004D3301"/>
    <w:rsid w:val="004D4E7D"/>
    <w:rsid w:val="004D5A33"/>
    <w:rsid w:val="004D5D63"/>
    <w:rsid w:val="004D6734"/>
    <w:rsid w:val="004D7E38"/>
    <w:rsid w:val="004E060A"/>
    <w:rsid w:val="004E1224"/>
    <w:rsid w:val="004E12FF"/>
    <w:rsid w:val="004E218F"/>
    <w:rsid w:val="004E23DF"/>
    <w:rsid w:val="004E29D4"/>
    <w:rsid w:val="004E364F"/>
    <w:rsid w:val="004E48F9"/>
    <w:rsid w:val="004F1902"/>
    <w:rsid w:val="004F26B1"/>
    <w:rsid w:val="004F2DA7"/>
    <w:rsid w:val="004F2F18"/>
    <w:rsid w:val="004F3056"/>
    <w:rsid w:val="004F420C"/>
    <w:rsid w:val="004F42DA"/>
    <w:rsid w:val="004F52E5"/>
    <w:rsid w:val="004F5D91"/>
    <w:rsid w:val="004F7A05"/>
    <w:rsid w:val="0050063C"/>
    <w:rsid w:val="00501E43"/>
    <w:rsid w:val="0050231B"/>
    <w:rsid w:val="00502596"/>
    <w:rsid w:val="005041DC"/>
    <w:rsid w:val="0050445F"/>
    <w:rsid w:val="00504F2A"/>
    <w:rsid w:val="0050680F"/>
    <w:rsid w:val="00506ABD"/>
    <w:rsid w:val="00507E08"/>
    <w:rsid w:val="005109ED"/>
    <w:rsid w:val="0051185B"/>
    <w:rsid w:val="00511C5F"/>
    <w:rsid w:val="005120ED"/>
    <w:rsid w:val="00513910"/>
    <w:rsid w:val="00513AAF"/>
    <w:rsid w:val="00517C41"/>
    <w:rsid w:val="00520BD9"/>
    <w:rsid w:val="00521046"/>
    <w:rsid w:val="00521790"/>
    <w:rsid w:val="00522AAB"/>
    <w:rsid w:val="0052375C"/>
    <w:rsid w:val="00523F40"/>
    <w:rsid w:val="00523F6A"/>
    <w:rsid w:val="00524786"/>
    <w:rsid w:val="005258DE"/>
    <w:rsid w:val="00525DCD"/>
    <w:rsid w:val="00526A5A"/>
    <w:rsid w:val="005303D4"/>
    <w:rsid w:val="00532222"/>
    <w:rsid w:val="00532B45"/>
    <w:rsid w:val="00533607"/>
    <w:rsid w:val="005338AA"/>
    <w:rsid w:val="00533E69"/>
    <w:rsid w:val="00535A67"/>
    <w:rsid w:val="00536757"/>
    <w:rsid w:val="00537EB2"/>
    <w:rsid w:val="0054045C"/>
    <w:rsid w:val="00540A2B"/>
    <w:rsid w:val="00540FE9"/>
    <w:rsid w:val="00542078"/>
    <w:rsid w:val="005420A6"/>
    <w:rsid w:val="00543545"/>
    <w:rsid w:val="00545BD9"/>
    <w:rsid w:val="00550058"/>
    <w:rsid w:val="005532F5"/>
    <w:rsid w:val="00553318"/>
    <w:rsid w:val="005540FF"/>
    <w:rsid w:val="005559C8"/>
    <w:rsid w:val="005577E3"/>
    <w:rsid w:val="005604B0"/>
    <w:rsid w:val="00560D71"/>
    <w:rsid w:val="00561A00"/>
    <w:rsid w:val="00562409"/>
    <w:rsid w:val="00563E9B"/>
    <w:rsid w:val="005654B7"/>
    <w:rsid w:val="0056585C"/>
    <w:rsid w:val="00567770"/>
    <w:rsid w:val="0056788A"/>
    <w:rsid w:val="00567CFF"/>
    <w:rsid w:val="00570B69"/>
    <w:rsid w:val="005745C9"/>
    <w:rsid w:val="00574CA1"/>
    <w:rsid w:val="0058169B"/>
    <w:rsid w:val="005836C0"/>
    <w:rsid w:val="005840EC"/>
    <w:rsid w:val="005847F4"/>
    <w:rsid w:val="005860F7"/>
    <w:rsid w:val="0058646F"/>
    <w:rsid w:val="005866B9"/>
    <w:rsid w:val="00587496"/>
    <w:rsid w:val="00587600"/>
    <w:rsid w:val="00590CC5"/>
    <w:rsid w:val="00590F42"/>
    <w:rsid w:val="005920A5"/>
    <w:rsid w:val="00593B9D"/>
    <w:rsid w:val="00595090"/>
    <w:rsid w:val="00595263"/>
    <w:rsid w:val="00595988"/>
    <w:rsid w:val="005A0BA3"/>
    <w:rsid w:val="005A0DAB"/>
    <w:rsid w:val="005A0E07"/>
    <w:rsid w:val="005A158C"/>
    <w:rsid w:val="005A1852"/>
    <w:rsid w:val="005A1BB2"/>
    <w:rsid w:val="005A3AFF"/>
    <w:rsid w:val="005A3ED4"/>
    <w:rsid w:val="005A4218"/>
    <w:rsid w:val="005A5670"/>
    <w:rsid w:val="005A683F"/>
    <w:rsid w:val="005B1640"/>
    <w:rsid w:val="005B3E5C"/>
    <w:rsid w:val="005B5694"/>
    <w:rsid w:val="005B6CD9"/>
    <w:rsid w:val="005B70C7"/>
    <w:rsid w:val="005B7500"/>
    <w:rsid w:val="005B7AA5"/>
    <w:rsid w:val="005B7C14"/>
    <w:rsid w:val="005C0571"/>
    <w:rsid w:val="005C081D"/>
    <w:rsid w:val="005C0C5A"/>
    <w:rsid w:val="005C0D14"/>
    <w:rsid w:val="005C1257"/>
    <w:rsid w:val="005C155C"/>
    <w:rsid w:val="005C6A47"/>
    <w:rsid w:val="005D2014"/>
    <w:rsid w:val="005D323A"/>
    <w:rsid w:val="005D36FF"/>
    <w:rsid w:val="005D3D03"/>
    <w:rsid w:val="005D3D56"/>
    <w:rsid w:val="005D4FCC"/>
    <w:rsid w:val="005D5052"/>
    <w:rsid w:val="005D5D37"/>
    <w:rsid w:val="005D6514"/>
    <w:rsid w:val="005D6AAA"/>
    <w:rsid w:val="005D7271"/>
    <w:rsid w:val="005D7E44"/>
    <w:rsid w:val="005E01E8"/>
    <w:rsid w:val="005E1DC3"/>
    <w:rsid w:val="005E27E8"/>
    <w:rsid w:val="005E3A1F"/>
    <w:rsid w:val="005E3DFA"/>
    <w:rsid w:val="005E55E6"/>
    <w:rsid w:val="005F0559"/>
    <w:rsid w:val="005F2169"/>
    <w:rsid w:val="005F21DC"/>
    <w:rsid w:val="005F2566"/>
    <w:rsid w:val="005F28E5"/>
    <w:rsid w:val="005F2CA7"/>
    <w:rsid w:val="005F2E8D"/>
    <w:rsid w:val="005F2EE9"/>
    <w:rsid w:val="005F4051"/>
    <w:rsid w:val="005F40A7"/>
    <w:rsid w:val="005F44FF"/>
    <w:rsid w:val="005F4B6C"/>
    <w:rsid w:val="005F6518"/>
    <w:rsid w:val="005F677E"/>
    <w:rsid w:val="005F688F"/>
    <w:rsid w:val="005F6B5F"/>
    <w:rsid w:val="005F7B66"/>
    <w:rsid w:val="006001DD"/>
    <w:rsid w:val="00600D75"/>
    <w:rsid w:val="0060138B"/>
    <w:rsid w:val="0060416D"/>
    <w:rsid w:val="00605E84"/>
    <w:rsid w:val="006061BD"/>
    <w:rsid w:val="00611F4A"/>
    <w:rsid w:val="0061473B"/>
    <w:rsid w:val="0061489B"/>
    <w:rsid w:val="006149AE"/>
    <w:rsid w:val="00614D19"/>
    <w:rsid w:val="006170DE"/>
    <w:rsid w:val="00621332"/>
    <w:rsid w:val="00622DB5"/>
    <w:rsid w:val="00622E6E"/>
    <w:rsid w:val="00622F38"/>
    <w:rsid w:val="00623832"/>
    <w:rsid w:val="00623E4B"/>
    <w:rsid w:val="00623E52"/>
    <w:rsid w:val="00624EF3"/>
    <w:rsid w:val="00625C91"/>
    <w:rsid w:val="00627F67"/>
    <w:rsid w:val="00630037"/>
    <w:rsid w:val="006301E7"/>
    <w:rsid w:val="00631C14"/>
    <w:rsid w:val="00632FC2"/>
    <w:rsid w:val="00633D49"/>
    <w:rsid w:val="006359B6"/>
    <w:rsid w:val="0063615A"/>
    <w:rsid w:val="0063671F"/>
    <w:rsid w:val="00636E35"/>
    <w:rsid w:val="00637903"/>
    <w:rsid w:val="0064266C"/>
    <w:rsid w:val="006436A0"/>
    <w:rsid w:val="00644105"/>
    <w:rsid w:val="00646D41"/>
    <w:rsid w:val="00646F6C"/>
    <w:rsid w:val="00647762"/>
    <w:rsid w:val="00650174"/>
    <w:rsid w:val="00650EFF"/>
    <w:rsid w:val="00651C94"/>
    <w:rsid w:val="0065236F"/>
    <w:rsid w:val="00652497"/>
    <w:rsid w:val="00654484"/>
    <w:rsid w:val="00654685"/>
    <w:rsid w:val="0065593B"/>
    <w:rsid w:val="00655C10"/>
    <w:rsid w:val="0065743D"/>
    <w:rsid w:val="00660235"/>
    <w:rsid w:val="00660A7F"/>
    <w:rsid w:val="00660A97"/>
    <w:rsid w:val="00661A92"/>
    <w:rsid w:val="0066295F"/>
    <w:rsid w:val="006673E7"/>
    <w:rsid w:val="006674FD"/>
    <w:rsid w:val="00671FDB"/>
    <w:rsid w:val="00672760"/>
    <w:rsid w:val="00672C8F"/>
    <w:rsid w:val="00675BBF"/>
    <w:rsid w:val="006767DC"/>
    <w:rsid w:val="00680545"/>
    <w:rsid w:val="006813E4"/>
    <w:rsid w:val="00681F07"/>
    <w:rsid w:val="006826DB"/>
    <w:rsid w:val="0068342D"/>
    <w:rsid w:val="00683D93"/>
    <w:rsid w:val="00683F43"/>
    <w:rsid w:val="00684C4F"/>
    <w:rsid w:val="0068597E"/>
    <w:rsid w:val="006860AF"/>
    <w:rsid w:val="00686342"/>
    <w:rsid w:val="00687723"/>
    <w:rsid w:val="0069218F"/>
    <w:rsid w:val="0069524D"/>
    <w:rsid w:val="00695C53"/>
    <w:rsid w:val="00697324"/>
    <w:rsid w:val="00697F4B"/>
    <w:rsid w:val="006A014E"/>
    <w:rsid w:val="006A1436"/>
    <w:rsid w:val="006A1F26"/>
    <w:rsid w:val="006A2A48"/>
    <w:rsid w:val="006A3762"/>
    <w:rsid w:val="006A4670"/>
    <w:rsid w:val="006A5080"/>
    <w:rsid w:val="006A6135"/>
    <w:rsid w:val="006A6D65"/>
    <w:rsid w:val="006A791F"/>
    <w:rsid w:val="006A7AFF"/>
    <w:rsid w:val="006B0353"/>
    <w:rsid w:val="006B2260"/>
    <w:rsid w:val="006B272E"/>
    <w:rsid w:val="006B3233"/>
    <w:rsid w:val="006C0293"/>
    <w:rsid w:val="006C0619"/>
    <w:rsid w:val="006C1215"/>
    <w:rsid w:val="006C153B"/>
    <w:rsid w:val="006C227C"/>
    <w:rsid w:val="006C40D8"/>
    <w:rsid w:val="006C42CF"/>
    <w:rsid w:val="006C4474"/>
    <w:rsid w:val="006C48B0"/>
    <w:rsid w:val="006C67B5"/>
    <w:rsid w:val="006C702A"/>
    <w:rsid w:val="006D04C1"/>
    <w:rsid w:val="006D0C7F"/>
    <w:rsid w:val="006D0CD6"/>
    <w:rsid w:val="006D31DC"/>
    <w:rsid w:val="006D3299"/>
    <w:rsid w:val="006D5DE9"/>
    <w:rsid w:val="006E0D97"/>
    <w:rsid w:val="006E1234"/>
    <w:rsid w:val="006E1986"/>
    <w:rsid w:val="006E1BE7"/>
    <w:rsid w:val="006E25BC"/>
    <w:rsid w:val="006E3636"/>
    <w:rsid w:val="006E3656"/>
    <w:rsid w:val="006E6FF2"/>
    <w:rsid w:val="006F115B"/>
    <w:rsid w:val="006F15D3"/>
    <w:rsid w:val="006F1729"/>
    <w:rsid w:val="006F1D34"/>
    <w:rsid w:val="006F26E4"/>
    <w:rsid w:val="006F350E"/>
    <w:rsid w:val="006F3835"/>
    <w:rsid w:val="006F3F71"/>
    <w:rsid w:val="006F552A"/>
    <w:rsid w:val="006F69CA"/>
    <w:rsid w:val="00700123"/>
    <w:rsid w:val="0070035D"/>
    <w:rsid w:val="007013EC"/>
    <w:rsid w:val="00702C0A"/>
    <w:rsid w:val="00703C66"/>
    <w:rsid w:val="007043A3"/>
    <w:rsid w:val="007050AC"/>
    <w:rsid w:val="00706FA9"/>
    <w:rsid w:val="007073DC"/>
    <w:rsid w:val="00707562"/>
    <w:rsid w:val="0070779C"/>
    <w:rsid w:val="00707D04"/>
    <w:rsid w:val="00711D65"/>
    <w:rsid w:val="007126FE"/>
    <w:rsid w:val="00712BA4"/>
    <w:rsid w:val="00713217"/>
    <w:rsid w:val="00713ADC"/>
    <w:rsid w:val="00713AED"/>
    <w:rsid w:val="00713D5E"/>
    <w:rsid w:val="00715ACC"/>
    <w:rsid w:val="00715D44"/>
    <w:rsid w:val="007178B4"/>
    <w:rsid w:val="00721C63"/>
    <w:rsid w:val="007240A6"/>
    <w:rsid w:val="00726464"/>
    <w:rsid w:val="00727473"/>
    <w:rsid w:val="00727B82"/>
    <w:rsid w:val="00730048"/>
    <w:rsid w:val="00730FC9"/>
    <w:rsid w:val="007313D6"/>
    <w:rsid w:val="007316C1"/>
    <w:rsid w:val="007317EE"/>
    <w:rsid w:val="00732B61"/>
    <w:rsid w:val="00733AAD"/>
    <w:rsid w:val="007340D8"/>
    <w:rsid w:val="0073430A"/>
    <w:rsid w:val="0073512F"/>
    <w:rsid w:val="00735C68"/>
    <w:rsid w:val="00737428"/>
    <w:rsid w:val="00737499"/>
    <w:rsid w:val="00741863"/>
    <w:rsid w:val="00742CD9"/>
    <w:rsid w:val="0074355F"/>
    <w:rsid w:val="00744197"/>
    <w:rsid w:val="00744DF7"/>
    <w:rsid w:val="00744EF4"/>
    <w:rsid w:val="00745302"/>
    <w:rsid w:val="00746312"/>
    <w:rsid w:val="00746F30"/>
    <w:rsid w:val="00747A04"/>
    <w:rsid w:val="00750883"/>
    <w:rsid w:val="0075279E"/>
    <w:rsid w:val="00753F63"/>
    <w:rsid w:val="0075418A"/>
    <w:rsid w:val="00754CF8"/>
    <w:rsid w:val="00755280"/>
    <w:rsid w:val="00760D1E"/>
    <w:rsid w:val="00761A6F"/>
    <w:rsid w:val="007627F8"/>
    <w:rsid w:val="00763422"/>
    <w:rsid w:val="007635BD"/>
    <w:rsid w:val="00763EB3"/>
    <w:rsid w:val="007643D5"/>
    <w:rsid w:val="007644B4"/>
    <w:rsid w:val="0076515D"/>
    <w:rsid w:val="007652CD"/>
    <w:rsid w:val="007653A2"/>
    <w:rsid w:val="0076711C"/>
    <w:rsid w:val="00767666"/>
    <w:rsid w:val="0077087B"/>
    <w:rsid w:val="007722B9"/>
    <w:rsid w:val="00772981"/>
    <w:rsid w:val="00773A92"/>
    <w:rsid w:val="0077578E"/>
    <w:rsid w:val="007762A0"/>
    <w:rsid w:val="0078008A"/>
    <w:rsid w:val="007803BB"/>
    <w:rsid w:val="007804C5"/>
    <w:rsid w:val="00780B79"/>
    <w:rsid w:val="00781571"/>
    <w:rsid w:val="007825F0"/>
    <w:rsid w:val="00782BAA"/>
    <w:rsid w:val="007911B0"/>
    <w:rsid w:val="007915C0"/>
    <w:rsid w:val="00791D22"/>
    <w:rsid w:val="00792368"/>
    <w:rsid w:val="00792EAE"/>
    <w:rsid w:val="00793A3F"/>
    <w:rsid w:val="007950D8"/>
    <w:rsid w:val="007979E6"/>
    <w:rsid w:val="00797F40"/>
    <w:rsid w:val="007A0BD6"/>
    <w:rsid w:val="007A216A"/>
    <w:rsid w:val="007A2541"/>
    <w:rsid w:val="007A4045"/>
    <w:rsid w:val="007A55F9"/>
    <w:rsid w:val="007A629F"/>
    <w:rsid w:val="007A6898"/>
    <w:rsid w:val="007A7201"/>
    <w:rsid w:val="007B0000"/>
    <w:rsid w:val="007B073A"/>
    <w:rsid w:val="007B140B"/>
    <w:rsid w:val="007B4B4A"/>
    <w:rsid w:val="007B5504"/>
    <w:rsid w:val="007B6A4B"/>
    <w:rsid w:val="007C1163"/>
    <w:rsid w:val="007C340E"/>
    <w:rsid w:val="007C4056"/>
    <w:rsid w:val="007C4298"/>
    <w:rsid w:val="007C491D"/>
    <w:rsid w:val="007C5190"/>
    <w:rsid w:val="007C6A4C"/>
    <w:rsid w:val="007C6B06"/>
    <w:rsid w:val="007C7A09"/>
    <w:rsid w:val="007C7F6A"/>
    <w:rsid w:val="007D057D"/>
    <w:rsid w:val="007D08A6"/>
    <w:rsid w:val="007D0B93"/>
    <w:rsid w:val="007D0EA3"/>
    <w:rsid w:val="007D1C38"/>
    <w:rsid w:val="007D21D1"/>
    <w:rsid w:val="007D2209"/>
    <w:rsid w:val="007D2749"/>
    <w:rsid w:val="007D3D9B"/>
    <w:rsid w:val="007D4043"/>
    <w:rsid w:val="007D4D2A"/>
    <w:rsid w:val="007D4F00"/>
    <w:rsid w:val="007D500F"/>
    <w:rsid w:val="007D56E3"/>
    <w:rsid w:val="007D59F3"/>
    <w:rsid w:val="007D6018"/>
    <w:rsid w:val="007D6EDD"/>
    <w:rsid w:val="007D715F"/>
    <w:rsid w:val="007D7603"/>
    <w:rsid w:val="007E072A"/>
    <w:rsid w:val="007E0C54"/>
    <w:rsid w:val="007E31F6"/>
    <w:rsid w:val="007E3427"/>
    <w:rsid w:val="007E352B"/>
    <w:rsid w:val="007E663A"/>
    <w:rsid w:val="007E68A6"/>
    <w:rsid w:val="007E6BDE"/>
    <w:rsid w:val="007E76EA"/>
    <w:rsid w:val="007F047E"/>
    <w:rsid w:val="007F068B"/>
    <w:rsid w:val="007F072D"/>
    <w:rsid w:val="007F127A"/>
    <w:rsid w:val="007F18DC"/>
    <w:rsid w:val="007F2E2E"/>
    <w:rsid w:val="007F3C40"/>
    <w:rsid w:val="007F3F35"/>
    <w:rsid w:val="007F4D5E"/>
    <w:rsid w:val="007F65F2"/>
    <w:rsid w:val="007F7260"/>
    <w:rsid w:val="007F7734"/>
    <w:rsid w:val="007F7B43"/>
    <w:rsid w:val="00800161"/>
    <w:rsid w:val="00802F37"/>
    <w:rsid w:val="00802FA1"/>
    <w:rsid w:val="00803B76"/>
    <w:rsid w:val="00803E56"/>
    <w:rsid w:val="00804D68"/>
    <w:rsid w:val="0080575E"/>
    <w:rsid w:val="0080668E"/>
    <w:rsid w:val="0080670D"/>
    <w:rsid w:val="00806C27"/>
    <w:rsid w:val="00810B11"/>
    <w:rsid w:val="008115F0"/>
    <w:rsid w:val="0081285D"/>
    <w:rsid w:val="0081306C"/>
    <w:rsid w:val="00813770"/>
    <w:rsid w:val="00814429"/>
    <w:rsid w:val="00814C99"/>
    <w:rsid w:val="0081529F"/>
    <w:rsid w:val="008155C1"/>
    <w:rsid w:val="008168A7"/>
    <w:rsid w:val="008205FC"/>
    <w:rsid w:val="00820FA3"/>
    <w:rsid w:val="00821CD2"/>
    <w:rsid w:val="00823EFF"/>
    <w:rsid w:val="00823F94"/>
    <w:rsid w:val="0082750B"/>
    <w:rsid w:val="0082787E"/>
    <w:rsid w:val="00830EE6"/>
    <w:rsid w:val="00831FFF"/>
    <w:rsid w:val="00832A17"/>
    <w:rsid w:val="008354BD"/>
    <w:rsid w:val="008356D4"/>
    <w:rsid w:val="00835FA5"/>
    <w:rsid w:val="00836C4E"/>
    <w:rsid w:val="00840A09"/>
    <w:rsid w:val="00840E71"/>
    <w:rsid w:val="008415AA"/>
    <w:rsid w:val="00841CC3"/>
    <w:rsid w:val="008421F3"/>
    <w:rsid w:val="00842326"/>
    <w:rsid w:val="008444EF"/>
    <w:rsid w:val="00844BBB"/>
    <w:rsid w:val="00847204"/>
    <w:rsid w:val="00851023"/>
    <w:rsid w:val="008513D0"/>
    <w:rsid w:val="00852A9E"/>
    <w:rsid w:val="00854A93"/>
    <w:rsid w:val="00855DC5"/>
    <w:rsid w:val="00856F0F"/>
    <w:rsid w:val="008573E5"/>
    <w:rsid w:val="0085756B"/>
    <w:rsid w:val="00860A68"/>
    <w:rsid w:val="0086174E"/>
    <w:rsid w:val="00861EF2"/>
    <w:rsid w:val="00862418"/>
    <w:rsid w:val="008624F6"/>
    <w:rsid w:val="00862577"/>
    <w:rsid w:val="008632EE"/>
    <w:rsid w:val="008645B1"/>
    <w:rsid w:val="0086468A"/>
    <w:rsid w:val="00865048"/>
    <w:rsid w:val="008655B1"/>
    <w:rsid w:val="00865698"/>
    <w:rsid w:val="008656B2"/>
    <w:rsid w:val="0086681C"/>
    <w:rsid w:val="00866D57"/>
    <w:rsid w:val="008715D2"/>
    <w:rsid w:val="00873436"/>
    <w:rsid w:val="0087351C"/>
    <w:rsid w:val="00874A0B"/>
    <w:rsid w:val="00875475"/>
    <w:rsid w:val="0087585E"/>
    <w:rsid w:val="00876973"/>
    <w:rsid w:val="00876D76"/>
    <w:rsid w:val="00877259"/>
    <w:rsid w:val="00877271"/>
    <w:rsid w:val="00880631"/>
    <w:rsid w:val="00881AFF"/>
    <w:rsid w:val="00883159"/>
    <w:rsid w:val="00883907"/>
    <w:rsid w:val="00883E27"/>
    <w:rsid w:val="0088444E"/>
    <w:rsid w:val="00885665"/>
    <w:rsid w:val="00885906"/>
    <w:rsid w:val="00885B4E"/>
    <w:rsid w:val="0088704E"/>
    <w:rsid w:val="00890186"/>
    <w:rsid w:val="00890916"/>
    <w:rsid w:val="00891A38"/>
    <w:rsid w:val="008921A2"/>
    <w:rsid w:val="00892F09"/>
    <w:rsid w:val="008944AC"/>
    <w:rsid w:val="008947F5"/>
    <w:rsid w:val="00894BBA"/>
    <w:rsid w:val="0089584B"/>
    <w:rsid w:val="008958B1"/>
    <w:rsid w:val="0089591C"/>
    <w:rsid w:val="00895951"/>
    <w:rsid w:val="00895CBC"/>
    <w:rsid w:val="00896177"/>
    <w:rsid w:val="008961C2"/>
    <w:rsid w:val="00896608"/>
    <w:rsid w:val="00897852"/>
    <w:rsid w:val="008A08A3"/>
    <w:rsid w:val="008A175E"/>
    <w:rsid w:val="008A1E23"/>
    <w:rsid w:val="008A238B"/>
    <w:rsid w:val="008A31BD"/>
    <w:rsid w:val="008A340B"/>
    <w:rsid w:val="008A5729"/>
    <w:rsid w:val="008A5925"/>
    <w:rsid w:val="008A6058"/>
    <w:rsid w:val="008A6E5B"/>
    <w:rsid w:val="008A7473"/>
    <w:rsid w:val="008B0105"/>
    <w:rsid w:val="008B1868"/>
    <w:rsid w:val="008B1ACA"/>
    <w:rsid w:val="008B1B44"/>
    <w:rsid w:val="008B1E7E"/>
    <w:rsid w:val="008B21EC"/>
    <w:rsid w:val="008B29ED"/>
    <w:rsid w:val="008B416E"/>
    <w:rsid w:val="008B43E9"/>
    <w:rsid w:val="008B442A"/>
    <w:rsid w:val="008B4BC3"/>
    <w:rsid w:val="008B694A"/>
    <w:rsid w:val="008B72E0"/>
    <w:rsid w:val="008C15D6"/>
    <w:rsid w:val="008C2A8F"/>
    <w:rsid w:val="008C2BB0"/>
    <w:rsid w:val="008C2FD7"/>
    <w:rsid w:val="008C4454"/>
    <w:rsid w:val="008C5985"/>
    <w:rsid w:val="008C7023"/>
    <w:rsid w:val="008C7C19"/>
    <w:rsid w:val="008D04BC"/>
    <w:rsid w:val="008D0BA1"/>
    <w:rsid w:val="008D0BD7"/>
    <w:rsid w:val="008D136A"/>
    <w:rsid w:val="008D24B7"/>
    <w:rsid w:val="008D2F44"/>
    <w:rsid w:val="008D4142"/>
    <w:rsid w:val="008D4E31"/>
    <w:rsid w:val="008D5017"/>
    <w:rsid w:val="008D6679"/>
    <w:rsid w:val="008D6836"/>
    <w:rsid w:val="008D6EB3"/>
    <w:rsid w:val="008D6F39"/>
    <w:rsid w:val="008D7169"/>
    <w:rsid w:val="008D7C39"/>
    <w:rsid w:val="008E020B"/>
    <w:rsid w:val="008E0211"/>
    <w:rsid w:val="008E1DF8"/>
    <w:rsid w:val="008E27A1"/>
    <w:rsid w:val="008E31A3"/>
    <w:rsid w:val="008E5195"/>
    <w:rsid w:val="008E5243"/>
    <w:rsid w:val="008E5CC7"/>
    <w:rsid w:val="008E62CB"/>
    <w:rsid w:val="008E6F6C"/>
    <w:rsid w:val="008E7312"/>
    <w:rsid w:val="008F0D47"/>
    <w:rsid w:val="008F1270"/>
    <w:rsid w:val="008F174F"/>
    <w:rsid w:val="008F20D4"/>
    <w:rsid w:val="008F2412"/>
    <w:rsid w:val="008F2565"/>
    <w:rsid w:val="008F28E2"/>
    <w:rsid w:val="008F43E9"/>
    <w:rsid w:val="008F4CB0"/>
    <w:rsid w:val="008F598B"/>
    <w:rsid w:val="008F74B9"/>
    <w:rsid w:val="008F7BFE"/>
    <w:rsid w:val="00901289"/>
    <w:rsid w:val="0090153B"/>
    <w:rsid w:val="009049AD"/>
    <w:rsid w:val="009054A9"/>
    <w:rsid w:val="00905C01"/>
    <w:rsid w:val="00905C3D"/>
    <w:rsid w:val="00905DE3"/>
    <w:rsid w:val="00906545"/>
    <w:rsid w:val="00907513"/>
    <w:rsid w:val="009077DF"/>
    <w:rsid w:val="00910B51"/>
    <w:rsid w:val="00910EE2"/>
    <w:rsid w:val="00910FDA"/>
    <w:rsid w:val="00911534"/>
    <w:rsid w:val="00912AD6"/>
    <w:rsid w:val="009136EE"/>
    <w:rsid w:val="00915F57"/>
    <w:rsid w:val="00915FA5"/>
    <w:rsid w:val="009165A1"/>
    <w:rsid w:val="009172D4"/>
    <w:rsid w:val="009210AC"/>
    <w:rsid w:val="0092166C"/>
    <w:rsid w:val="00922147"/>
    <w:rsid w:val="00922379"/>
    <w:rsid w:val="00922FDB"/>
    <w:rsid w:val="009236CA"/>
    <w:rsid w:val="0092376D"/>
    <w:rsid w:val="00924B98"/>
    <w:rsid w:val="009264BE"/>
    <w:rsid w:val="00926947"/>
    <w:rsid w:val="00930596"/>
    <w:rsid w:val="00931975"/>
    <w:rsid w:val="00931B0F"/>
    <w:rsid w:val="00933359"/>
    <w:rsid w:val="009340CA"/>
    <w:rsid w:val="009358FA"/>
    <w:rsid w:val="0093685B"/>
    <w:rsid w:val="00937DC5"/>
    <w:rsid w:val="009419FB"/>
    <w:rsid w:val="0094296C"/>
    <w:rsid w:val="00943546"/>
    <w:rsid w:val="009440D8"/>
    <w:rsid w:val="0094439F"/>
    <w:rsid w:val="00944DB5"/>
    <w:rsid w:val="00945C74"/>
    <w:rsid w:val="00946596"/>
    <w:rsid w:val="00946A67"/>
    <w:rsid w:val="00950CDA"/>
    <w:rsid w:val="00951A23"/>
    <w:rsid w:val="00953436"/>
    <w:rsid w:val="00953C90"/>
    <w:rsid w:val="009541F4"/>
    <w:rsid w:val="00954AD3"/>
    <w:rsid w:val="00956DA6"/>
    <w:rsid w:val="00957756"/>
    <w:rsid w:val="00961580"/>
    <w:rsid w:val="00962BA2"/>
    <w:rsid w:val="00967832"/>
    <w:rsid w:val="009716A9"/>
    <w:rsid w:val="00971B43"/>
    <w:rsid w:val="00972859"/>
    <w:rsid w:val="00975687"/>
    <w:rsid w:val="009765CF"/>
    <w:rsid w:val="00977D0C"/>
    <w:rsid w:val="009804A4"/>
    <w:rsid w:val="00981308"/>
    <w:rsid w:val="00981624"/>
    <w:rsid w:val="00987B66"/>
    <w:rsid w:val="00987EE5"/>
    <w:rsid w:val="00987F40"/>
    <w:rsid w:val="00990835"/>
    <w:rsid w:val="00991285"/>
    <w:rsid w:val="009924CA"/>
    <w:rsid w:val="0099285C"/>
    <w:rsid w:val="00992BF0"/>
    <w:rsid w:val="00993854"/>
    <w:rsid w:val="00993B0A"/>
    <w:rsid w:val="00996325"/>
    <w:rsid w:val="00997166"/>
    <w:rsid w:val="009A06C9"/>
    <w:rsid w:val="009A1F98"/>
    <w:rsid w:val="009A38A7"/>
    <w:rsid w:val="009A5D59"/>
    <w:rsid w:val="009A73A4"/>
    <w:rsid w:val="009B043D"/>
    <w:rsid w:val="009B165E"/>
    <w:rsid w:val="009B183C"/>
    <w:rsid w:val="009B20E3"/>
    <w:rsid w:val="009B2E2D"/>
    <w:rsid w:val="009B2F6A"/>
    <w:rsid w:val="009B402D"/>
    <w:rsid w:val="009B4688"/>
    <w:rsid w:val="009C0B82"/>
    <w:rsid w:val="009C1128"/>
    <w:rsid w:val="009C130F"/>
    <w:rsid w:val="009C354A"/>
    <w:rsid w:val="009C3C4E"/>
    <w:rsid w:val="009C7815"/>
    <w:rsid w:val="009D0DFA"/>
    <w:rsid w:val="009D29BA"/>
    <w:rsid w:val="009D326B"/>
    <w:rsid w:val="009D35AD"/>
    <w:rsid w:val="009D3DA9"/>
    <w:rsid w:val="009D4DBA"/>
    <w:rsid w:val="009D663F"/>
    <w:rsid w:val="009D6667"/>
    <w:rsid w:val="009D6796"/>
    <w:rsid w:val="009D68DF"/>
    <w:rsid w:val="009D7129"/>
    <w:rsid w:val="009D7FC4"/>
    <w:rsid w:val="009E009C"/>
    <w:rsid w:val="009E124A"/>
    <w:rsid w:val="009E6C60"/>
    <w:rsid w:val="009F0487"/>
    <w:rsid w:val="009F082D"/>
    <w:rsid w:val="009F0F12"/>
    <w:rsid w:val="009F2297"/>
    <w:rsid w:val="009F418A"/>
    <w:rsid w:val="009F4B4D"/>
    <w:rsid w:val="009F5757"/>
    <w:rsid w:val="009F58E7"/>
    <w:rsid w:val="00A008F3"/>
    <w:rsid w:val="00A00DA6"/>
    <w:rsid w:val="00A016E2"/>
    <w:rsid w:val="00A01BED"/>
    <w:rsid w:val="00A03716"/>
    <w:rsid w:val="00A03B4D"/>
    <w:rsid w:val="00A04DBB"/>
    <w:rsid w:val="00A04FDD"/>
    <w:rsid w:val="00A05D13"/>
    <w:rsid w:val="00A0713F"/>
    <w:rsid w:val="00A10333"/>
    <w:rsid w:val="00A109FF"/>
    <w:rsid w:val="00A10A89"/>
    <w:rsid w:val="00A12C63"/>
    <w:rsid w:val="00A12F2B"/>
    <w:rsid w:val="00A133F2"/>
    <w:rsid w:val="00A13464"/>
    <w:rsid w:val="00A134CE"/>
    <w:rsid w:val="00A16107"/>
    <w:rsid w:val="00A16AEF"/>
    <w:rsid w:val="00A17018"/>
    <w:rsid w:val="00A17063"/>
    <w:rsid w:val="00A1722B"/>
    <w:rsid w:val="00A20836"/>
    <w:rsid w:val="00A219F0"/>
    <w:rsid w:val="00A21E8A"/>
    <w:rsid w:val="00A22BC8"/>
    <w:rsid w:val="00A237AF"/>
    <w:rsid w:val="00A23A15"/>
    <w:rsid w:val="00A23AD1"/>
    <w:rsid w:val="00A25EBC"/>
    <w:rsid w:val="00A31772"/>
    <w:rsid w:val="00A319D4"/>
    <w:rsid w:val="00A329C5"/>
    <w:rsid w:val="00A32CEE"/>
    <w:rsid w:val="00A335EA"/>
    <w:rsid w:val="00A3770E"/>
    <w:rsid w:val="00A41B75"/>
    <w:rsid w:val="00A44CDA"/>
    <w:rsid w:val="00A46C79"/>
    <w:rsid w:val="00A46CB3"/>
    <w:rsid w:val="00A502BE"/>
    <w:rsid w:val="00A51C74"/>
    <w:rsid w:val="00A52136"/>
    <w:rsid w:val="00A53734"/>
    <w:rsid w:val="00A55367"/>
    <w:rsid w:val="00A556DD"/>
    <w:rsid w:val="00A55749"/>
    <w:rsid w:val="00A570F8"/>
    <w:rsid w:val="00A61A9C"/>
    <w:rsid w:val="00A62C50"/>
    <w:rsid w:val="00A651C9"/>
    <w:rsid w:val="00A65503"/>
    <w:rsid w:val="00A65CD3"/>
    <w:rsid w:val="00A67432"/>
    <w:rsid w:val="00A6758F"/>
    <w:rsid w:val="00A676D5"/>
    <w:rsid w:val="00A67BCD"/>
    <w:rsid w:val="00A7009E"/>
    <w:rsid w:val="00A7167E"/>
    <w:rsid w:val="00A737D5"/>
    <w:rsid w:val="00A7668E"/>
    <w:rsid w:val="00A775D2"/>
    <w:rsid w:val="00A77CF9"/>
    <w:rsid w:val="00A810A7"/>
    <w:rsid w:val="00A81D18"/>
    <w:rsid w:val="00A81FBC"/>
    <w:rsid w:val="00A83895"/>
    <w:rsid w:val="00A83B27"/>
    <w:rsid w:val="00A86A54"/>
    <w:rsid w:val="00A877D1"/>
    <w:rsid w:val="00A915A1"/>
    <w:rsid w:val="00A916A9"/>
    <w:rsid w:val="00A941EF"/>
    <w:rsid w:val="00A961FE"/>
    <w:rsid w:val="00A965F4"/>
    <w:rsid w:val="00AA0921"/>
    <w:rsid w:val="00AA49AC"/>
    <w:rsid w:val="00AA4D3E"/>
    <w:rsid w:val="00AA4D4C"/>
    <w:rsid w:val="00AA52FC"/>
    <w:rsid w:val="00AA5BC2"/>
    <w:rsid w:val="00AA7D57"/>
    <w:rsid w:val="00AB097D"/>
    <w:rsid w:val="00AB1137"/>
    <w:rsid w:val="00AB2F0F"/>
    <w:rsid w:val="00AB70D9"/>
    <w:rsid w:val="00AB7743"/>
    <w:rsid w:val="00AC0022"/>
    <w:rsid w:val="00AC06E5"/>
    <w:rsid w:val="00AC27DD"/>
    <w:rsid w:val="00AC30FD"/>
    <w:rsid w:val="00AC3227"/>
    <w:rsid w:val="00AC33B2"/>
    <w:rsid w:val="00AC3B44"/>
    <w:rsid w:val="00AC5A68"/>
    <w:rsid w:val="00AC75F0"/>
    <w:rsid w:val="00AD03F5"/>
    <w:rsid w:val="00AD2A85"/>
    <w:rsid w:val="00AD2F50"/>
    <w:rsid w:val="00AD4276"/>
    <w:rsid w:val="00AD5B5E"/>
    <w:rsid w:val="00AD6DEA"/>
    <w:rsid w:val="00AD7ED6"/>
    <w:rsid w:val="00AE157D"/>
    <w:rsid w:val="00AE17D4"/>
    <w:rsid w:val="00AE205E"/>
    <w:rsid w:val="00AE52CA"/>
    <w:rsid w:val="00AE61DB"/>
    <w:rsid w:val="00AE70A6"/>
    <w:rsid w:val="00AE7161"/>
    <w:rsid w:val="00AF13FF"/>
    <w:rsid w:val="00AF4EEE"/>
    <w:rsid w:val="00AF5693"/>
    <w:rsid w:val="00AF642C"/>
    <w:rsid w:val="00AF6844"/>
    <w:rsid w:val="00AF7189"/>
    <w:rsid w:val="00AF7F0A"/>
    <w:rsid w:val="00B00EEE"/>
    <w:rsid w:val="00B019B1"/>
    <w:rsid w:val="00B021C6"/>
    <w:rsid w:val="00B026CE"/>
    <w:rsid w:val="00B05CFF"/>
    <w:rsid w:val="00B05D0B"/>
    <w:rsid w:val="00B0612A"/>
    <w:rsid w:val="00B06DD7"/>
    <w:rsid w:val="00B070CF"/>
    <w:rsid w:val="00B07566"/>
    <w:rsid w:val="00B120D5"/>
    <w:rsid w:val="00B14182"/>
    <w:rsid w:val="00B147C7"/>
    <w:rsid w:val="00B14F01"/>
    <w:rsid w:val="00B176A3"/>
    <w:rsid w:val="00B204DA"/>
    <w:rsid w:val="00B2092D"/>
    <w:rsid w:val="00B20B5B"/>
    <w:rsid w:val="00B26D1F"/>
    <w:rsid w:val="00B27577"/>
    <w:rsid w:val="00B30C57"/>
    <w:rsid w:val="00B32051"/>
    <w:rsid w:val="00B321EF"/>
    <w:rsid w:val="00B322C7"/>
    <w:rsid w:val="00B327E3"/>
    <w:rsid w:val="00B33297"/>
    <w:rsid w:val="00B33A67"/>
    <w:rsid w:val="00B33C5A"/>
    <w:rsid w:val="00B33FE3"/>
    <w:rsid w:val="00B34FCE"/>
    <w:rsid w:val="00B36021"/>
    <w:rsid w:val="00B3672D"/>
    <w:rsid w:val="00B43BD8"/>
    <w:rsid w:val="00B45BC4"/>
    <w:rsid w:val="00B46635"/>
    <w:rsid w:val="00B46B6E"/>
    <w:rsid w:val="00B51C84"/>
    <w:rsid w:val="00B528D9"/>
    <w:rsid w:val="00B539C9"/>
    <w:rsid w:val="00B53A95"/>
    <w:rsid w:val="00B53D56"/>
    <w:rsid w:val="00B5442D"/>
    <w:rsid w:val="00B55EF2"/>
    <w:rsid w:val="00B5611C"/>
    <w:rsid w:val="00B617FD"/>
    <w:rsid w:val="00B61858"/>
    <w:rsid w:val="00B61C70"/>
    <w:rsid w:val="00B634F5"/>
    <w:rsid w:val="00B678DE"/>
    <w:rsid w:val="00B70E47"/>
    <w:rsid w:val="00B71EDE"/>
    <w:rsid w:val="00B724C7"/>
    <w:rsid w:val="00B73D20"/>
    <w:rsid w:val="00B7427C"/>
    <w:rsid w:val="00B745CD"/>
    <w:rsid w:val="00B745D1"/>
    <w:rsid w:val="00B74E87"/>
    <w:rsid w:val="00B75094"/>
    <w:rsid w:val="00B75CD0"/>
    <w:rsid w:val="00B76264"/>
    <w:rsid w:val="00B76630"/>
    <w:rsid w:val="00B7681D"/>
    <w:rsid w:val="00B76ADB"/>
    <w:rsid w:val="00B77C33"/>
    <w:rsid w:val="00B80100"/>
    <w:rsid w:val="00B820E2"/>
    <w:rsid w:val="00B84E42"/>
    <w:rsid w:val="00B85742"/>
    <w:rsid w:val="00B85E88"/>
    <w:rsid w:val="00B90AF2"/>
    <w:rsid w:val="00B9212A"/>
    <w:rsid w:val="00B92285"/>
    <w:rsid w:val="00B92C6A"/>
    <w:rsid w:val="00B952B4"/>
    <w:rsid w:val="00B95600"/>
    <w:rsid w:val="00B97478"/>
    <w:rsid w:val="00B97963"/>
    <w:rsid w:val="00BA0ADE"/>
    <w:rsid w:val="00BA0B6C"/>
    <w:rsid w:val="00BA0EE0"/>
    <w:rsid w:val="00BA17B6"/>
    <w:rsid w:val="00BA2AA5"/>
    <w:rsid w:val="00BA3539"/>
    <w:rsid w:val="00BA6427"/>
    <w:rsid w:val="00BA6730"/>
    <w:rsid w:val="00BA746B"/>
    <w:rsid w:val="00BB4370"/>
    <w:rsid w:val="00BB4503"/>
    <w:rsid w:val="00BB59F7"/>
    <w:rsid w:val="00BB6420"/>
    <w:rsid w:val="00BB709A"/>
    <w:rsid w:val="00BB71CE"/>
    <w:rsid w:val="00BC0150"/>
    <w:rsid w:val="00BC3C1B"/>
    <w:rsid w:val="00BC5A89"/>
    <w:rsid w:val="00BC61B4"/>
    <w:rsid w:val="00BC6450"/>
    <w:rsid w:val="00BC6E28"/>
    <w:rsid w:val="00BC7259"/>
    <w:rsid w:val="00BC7295"/>
    <w:rsid w:val="00BC7943"/>
    <w:rsid w:val="00BC7A4B"/>
    <w:rsid w:val="00BC7C38"/>
    <w:rsid w:val="00BD03F3"/>
    <w:rsid w:val="00BD0444"/>
    <w:rsid w:val="00BD0912"/>
    <w:rsid w:val="00BD0924"/>
    <w:rsid w:val="00BD1DBF"/>
    <w:rsid w:val="00BD3B9C"/>
    <w:rsid w:val="00BD463A"/>
    <w:rsid w:val="00BD4981"/>
    <w:rsid w:val="00BD5026"/>
    <w:rsid w:val="00BD5CB2"/>
    <w:rsid w:val="00BD68D1"/>
    <w:rsid w:val="00BD68DF"/>
    <w:rsid w:val="00BD72E5"/>
    <w:rsid w:val="00BD7B21"/>
    <w:rsid w:val="00BE0633"/>
    <w:rsid w:val="00BE176B"/>
    <w:rsid w:val="00BE28BE"/>
    <w:rsid w:val="00BE379B"/>
    <w:rsid w:val="00BE37CA"/>
    <w:rsid w:val="00BE445B"/>
    <w:rsid w:val="00BE560F"/>
    <w:rsid w:val="00BE57CA"/>
    <w:rsid w:val="00BE61AC"/>
    <w:rsid w:val="00BE77F5"/>
    <w:rsid w:val="00BF1AE7"/>
    <w:rsid w:val="00BF245E"/>
    <w:rsid w:val="00BF3644"/>
    <w:rsid w:val="00BF42D7"/>
    <w:rsid w:val="00BF4DCA"/>
    <w:rsid w:val="00BF4F39"/>
    <w:rsid w:val="00BF5659"/>
    <w:rsid w:val="00BF5AD7"/>
    <w:rsid w:val="00BF5EDD"/>
    <w:rsid w:val="00BF68D0"/>
    <w:rsid w:val="00BF7BF5"/>
    <w:rsid w:val="00C02077"/>
    <w:rsid w:val="00C02C3F"/>
    <w:rsid w:val="00C03FFC"/>
    <w:rsid w:val="00C04A6A"/>
    <w:rsid w:val="00C04D53"/>
    <w:rsid w:val="00C05D8D"/>
    <w:rsid w:val="00C068B3"/>
    <w:rsid w:val="00C10F6F"/>
    <w:rsid w:val="00C12657"/>
    <w:rsid w:val="00C1350F"/>
    <w:rsid w:val="00C1433A"/>
    <w:rsid w:val="00C14630"/>
    <w:rsid w:val="00C2021B"/>
    <w:rsid w:val="00C21014"/>
    <w:rsid w:val="00C210F4"/>
    <w:rsid w:val="00C212C1"/>
    <w:rsid w:val="00C21E4B"/>
    <w:rsid w:val="00C239F3"/>
    <w:rsid w:val="00C23BAB"/>
    <w:rsid w:val="00C24E19"/>
    <w:rsid w:val="00C250F3"/>
    <w:rsid w:val="00C2692A"/>
    <w:rsid w:val="00C274C6"/>
    <w:rsid w:val="00C279EB"/>
    <w:rsid w:val="00C31B63"/>
    <w:rsid w:val="00C3303A"/>
    <w:rsid w:val="00C353FA"/>
    <w:rsid w:val="00C3547B"/>
    <w:rsid w:val="00C368CB"/>
    <w:rsid w:val="00C36A40"/>
    <w:rsid w:val="00C36CBA"/>
    <w:rsid w:val="00C4056A"/>
    <w:rsid w:val="00C42001"/>
    <w:rsid w:val="00C42BBD"/>
    <w:rsid w:val="00C43E56"/>
    <w:rsid w:val="00C45054"/>
    <w:rsid w:val="00C4508A"/>
    <w:rsid w:val="00C458D2"/>
    <w:rsid w:val="00C45DFC"/>
    <w:rsid w:val="00C46665"/>
    <w:rsid w:val="00C46E04"/>
    <w:rsid w:val="00C474B1"/>
    <w:rsid w:val="00C479F5"/>
    <w:rsid w:val="00C5066D"/>
    <w:rsid w:val="00C50B15"/>
    <w:rsid w:val="00C52D19"/>
    <w:rsid w:val="00C535AB"/>
    <w:rsid w:val="00C55206"/>
    <w:rsid w:val="00C56D8C"/>
    <w:rsid w:val="00C57280"/>
    <w:rsid w:val="00C57859"/>
    <w:rsid w:val="00C57F15"/>
    <w:rsid w:val="00C57F68"/>
    <w:rsid w:val="00C60009"/>
    <w:rsid w:val="00C601AE"/>
    <w:rsid w:val="00C601B6"/>
    <w:rsid w:val="00C60EBF"/>
    <w:rsid w:val="00C61625"/>
    <w:rsid w:val="00C62653"/>
    <w:rsid w:val="00C65F8B"/>
    <w:rsid w:val="00C6754B"/>
    <w:rsid w:val="00C67872"/>
    <w:rsid w:val="00C679DC"/>
    <w:rsid w:val="00C67E5B"/>
    <w:rsid w:val="00C716AB"/>
    <w:rsid w:val="00C730AA"/>
    <w:rsid w:val="00C73968"/>
    <w:rsid w:val="00C73CE6"/>
    <w:rsid w:val="00C74650"/>
    <w:rsid w:val="00C74FD7"/>
    <w:rsid w:val="00C756DC"/>
    <w:rsid w:val="00C75E6E"/>
    <w:rsid w:val="00C76506"/>
    <w:rsid w:val="00C7690A"/>
    <w:rsid w:val="00C76D1B"/>
    <w:rsid w:val="00C76DCD"/>
    <w:rsid w:val="00C773B3"/>
    <w:rsid w:val="00C7755D"/>
    <w:rsid w:val="00C77ACF"/>
    <w:rsid w:val="00C817DC"/>
    <w:rsid w:val="00C83973"/>
    <w:rsid w:val="00C84B24"/>
    <w:rsid w:val="00C85F81"/>
    <w:rsid w:val="00C8729E"/>
    <w:rsid w:val="00C87D90"/>
    <w:rsid w:val="00C9009F"/>
    <w:rsid w:val="00C903AF"/>
    <w:rsid w:val="00C9142A"/>
    <w:rsid w:val="00C920FB"/>
    <w:rsid w:val="00C93CBF"/>
    <w:rsid w:val="00C9456F"/>
    <w:rsid w:val="00CA21F1"/>
    <w:rsid w:val="00CA2F0A"/>
    <w:rsid w:val="00CA3553"/>
    <w:rsid w:val="00CA4E8E"/>
    <w:rsid w:val="00CA78D7"/>
    <w:rsid w:val="00CB349C"/>
    <w:rsid w:val="00CB4B22"/>
    <w:rsid w:val="00CB4B3E"/>
    <w:rsid w:val="00CB592F"/>
    <w:rsid w:val="00CB5B0A"/>
    <w:rsid w:val="00CC0779"/>
    <w:rsid w:val="00CC5AD8"/>
    <w:rsid w:val="00CC6F80"/>
    <w:rsid w:val="00CC7BE3"/>
    <w:rsid w:val="00CC7EC9"/>
    <w:rsid w:val="00CD04C8"/>
    <w:rsid w:val="00CD24FB"/>
    <w:rsid w:val="00CD4EC3"/>
    <w:rsid w:val="00CD66D4"/>
    <w:rsid w:val="00CD6B6F"/>
    <w:rsid w:val="00CE03A1"/>
    <w:rsid w:val="00CE12D4"/>
    <w:rsid w:val="00CE1588"/>
    <w:rsid w:val="00CE19F5"/>
    <w:rsid w:val="00CE2BBE"/>
    <w:rsid w:val="00CE2CA2"/>
    <w:rsid w:val="00CE3381"/>
    <w:rsid w:val="00CE3A6C"/>
    <w:rsid w:val="00CE5611"/>
    <w:rsid w:val="00CE61D4"/>
    <w:rsid w:val="00CE74EA"/>
    <w:rsid w:val="00CE7502"/>
    <w:rsid w:val="00CE772E"/>
    <w:rsid w:val="00CF13CD"/>
    <w:rsid w:val="00CF3149"/>
    <w:rsid w:val="00CF37C0"/>
    <w:rsid w:val="00CF3F1D"/>
    <w:rsid w:val="00CF4118"/>
    <w:rsid w:val="00CF564A"/>
    <w:rsid w:val="00CF5E0C"/>
    <w:rsid w:val="00CF7438"/>
    <w:rsid w:val="00CF7AFE"/>
    <w:rsid w:val="00CF7C08"/>
    <w:rsid w:val="00D0037B"/>
    <w:rsid w:val="00D0116E"/>
    <w:rsid w:val="00D023A6"/>
    <w:rsid w:val="00D0302E"/>
    <w:rsid w:val="00D04423"/>
    <w:rsid w:val="00D045BE"/>
    <w:rsid w:val="00D04887"/>
    <w:rsid w:val="00D06002"/>
    <w:rsid w:val="00D0651F"/>
    <w:rsid w:val="00D06776"/>
    <w:rsid w:val="00D06E95"/>
    <w:rsid w:val="00D0705B"/>
    <w:rsid w:val="00D07275"/>
    <w:rsid w:val="00D07A52"/>
    <w:rsid w:val="00D07C1A"/>
    <w:rsid w:val="00D10498"/>
    <w:rsid w:val="00D1094A"/>
    <w:rsid w:val="00D111D6"/>
    <w:rsid w:val="00D1299F"/>
    <w:rsid w:val="00D13D4E"/>
    <w:rsid w:val="00D14EF1"/>
    <w:rsid w:val="00D15593"/>
    <w:rsid w:val="00D16AC7"/>
    <w:rsid w:val="00D17B38"/>
    <w:rsid w:val="00D204A6"/>
    <w:rsid w:val="00D207AD"/>
    <w:rsid w:val="00D20E70"/>
    <w:rsid w:val="00D22513"/>
    <w:rsid w:val="00D22595"/>
    <w:rsid w:val="00D22D9B"/>
    <w:rsid w:val="00D232A0"/>
    <w:rsid w:val="00D235FD"/>
    <w:rsid w:val="00D2464E"/>
    <w:rsid w:val="00D24E68"/>
    <w:rsid w:val="00D2573D"/>
    <w:rsid w:val="00D26457"/>
    <w:rsid w:val="00D26E6A"/>
    <w:rsid w:val="00D2773F"/>
    <w:rsid w:val="00D309AC"/>
    <w:rsid w:val="00D30CAD"/>
    <w:rsid w:val="00D3136F"/>
    <w:rsid w:val="00D31777"/>
    <w:rsid w:val="00D326EC"/>
    <w:rsid w:val="00D32E06"/>
    <w:rsid w:val="00D32F9E"/>
    <w:rsid w:val="00D33EB1"/>
    <w:rsid w:val="00D34420"/>
    <w:rsid w:val="00D3492F"/>
    <w:rsid w:val="00D34E40"/>
    <w:rsid w:val="00D34FB7"/>
    <w:rsid w:val="00D36700"/>
    <w:rsid w:val="00D36B4E"/>
    <w:rsid w:val="00D371A7"/>
    <w:rsid w:val="00D378EB"/>
    <w:rsid w:val="00D37DB8"/>
    <w:rsid w:val="00D4357C"/>
    <w:rsid w:val="00D435D1"/>
    <w:rsid w:val="00D44BA4"/>
    <w:rsid w:val="00D46655"/>
    <w:rsid w:val="00D46872"/>
    <w:rsid w:val="00D47B64"/>
    <w:rsid w:val="00D5056F"/>
    <w:rsid w:val="00D512A0"/>
    <w:rsid w:val="00D51CC3"/>
    <w:rsid w:val="00D53A66"/>
    <w:rsid w:val="00D53BF9"/>
    <w:rsid w:val="00D569BE"/>
    <w:rsid w:val="00D60191"/>
    <w:rsid w:val="00D60437"/>
    <w:rsid w:val="00D61021"/>
    <w:rsid w:val="00D61C61"/>
    <w:rsid w:val="00D62C84"/>
    <w:rsid w:val="00D63313"/>
    <w:rsid w:val="00D63FEF"/>
    <w:rsid w:val="00D653B1"/>
    <w:rsid w:val="00D660BA"/>
    <w:rsid w:val="00D66689"/>
    <w:rsid w:val="00D67463"/>
    <w:rsid w:val="00D70616"/>
    <w:rsid w:val="00D70E02"/>
    <w:rsid w:val="00D72C0C"/>
    <w:rsid w:val="00D736BC"/>
    <w:rsid w:val="00D73F8E"/>
    <w:rsid w:val="00D7432F"/>
    <w:rsid w:val="00D74AAA"/>
    <w:rsid w:val="00D7630F"/>
    <w:rsid w:val="00D77DC4"/>
    <w:rsid w:val="00D80AA9"/>
    <w:rsid w:val="00D81A40"/>
    <w:rsid w:val="00D820A9"/>
    <w:rsid w:val="00D83071"/>
    <w:rsid w:val="00D85B00"/>
    <w:rsid w:val="00D86255"/>
    <w:rsid w:val="00D90338"/>
    <w:rsid w:val="00D911B5"/>
    <w:rsid w:val="00D929CB"/>
    <w:rsid w:val="00D92C56"/>
    <w:rsid w:val="00D93180"/>
    <w:rsid w:val="00D95244"/>
    <w:rsid w:val="00D95E9E"/>
    <w:rsid w:val="00D97DAB"/>
    <w:rsid w:val="00DA08CC"/>
    <w:rsid w:val="00DA0FE3"/>
    <w:rsid w:val="00DA2805"/>
    <w:rsid w:val="00DA2C05"/>
    <w:rsid w:val="00DA6199"/>
    <w:rsid w:val="00DA7038"/>
    <w:rsid w:val="00DB166B"/>
    <w:rsid w:val="00DB29A0"/>
    <w:rsid w:val="00DB3A43"/>
    <w:rsid w:val="00DB6143"/>
    <w:rsid w:val="00DB6384"/>
    <w:rsid w:val="00DB6DFD"/>
    <w:rsid w:val="00DC0468"/>
    <w:rsid w:val="00DC11F4"/>
    <w:rsid w:val="00DC18AC"/>
    <w:rsid w:val="00DC2C34"/>
    <w:rsid w:val="00DC48EA"/>
    <w:rsid w:val="00DC608C"/>
    <w:rsid w:val="00DD039A"/>
    <w:rsid w:val="00DD16E0"/>
    <w:rsid w:val="00DD273F"/>
    <w:rsid w:val="00DD3379"/>
    <w:rsid w:val="00DD3C0B"/>
    <w:rsid w:val="00DE0498"/>
    <w:rsid w:val="00DE3D9F"/>
    <w:rsid w:val="00DE4B5A"/>
    <w:rsid w:val="00DE6F5B"/>
    <w:rsid w:val="00DE7A04"/>
    <w:rsid w:val="00DF0C50"/>
    <w:rsid w:val="00DF2601"/>
    <w:rsid w:val="00DF35D2"/>
    <w:rsid w:val="00DF3DFF"/>
    <w:rsid w:val="00DF542D"/>
    <w:rsid w:val="00DF5812"/>
    <w:rsid w:val="00DF6501"/>
    <w:rsid w:val="00DF6701"/>
    <w:rsid w:val="00DF676C"/>
    <w:rsid w:val="00DF76E4"/>
    <w:rsid w:val="00E00405"/>
    <w:rsid w:val="00E01E6D"/>
    <w:rsid w:val="00E01EBA"/>
    <w:rsid w:val="00E0285B"/>
    <w:rsid w:val="00E0369B"/>
    <w:rsid w:val="00E04321"/>
    <w:rsid w:val="00E04CCD"/>
    <w:rsid w:val="00E053D3"/>
    <w:rsid w:val="00E05C6B"/>
    <w:rsid w:val="00E07A13"/>
    <w:rsid w:val="00E10FD9"/>
    <w:rsid w:val="00E11231"/>
    <w:rsid w:val="00E11326"/>
    <w:rsid w:val="00E11891"/>
    <w:rsid w:val="00E12261"/>
    <w:rsid w:val="00E1345F"/>
    <w:rsid w:val="00E1428A"/>
    <w:rsid w:val="00E14D36"/>
    <w:rsid w:val="00E15C20"/>
    <w:rsid w:val="00E16CE7"/>
    <w:rsid w:val="00E17891"/>
    <w:rsid w:val="00E210E8"/>
    <w:rsid w:val="00E30DC8"/>
    <w:rsid w:val="00E32934"/>
    <w:rsid w:val="00E34101"/>
    <w:rsid w:val="00E34DC2"/>
    <w:rsid w:val="00E37789"/>
    <w:rsid w:val="00E4191F"/>
    <w:rsid w:val="00E41E39"/>
    <w:rsid w:val="00E42983"/>
    <w:rsid w:val="00E4492D"/>
    <w:rsid w:val="00E44C7F"/>
    <w:rsid w:val="00E4552D"/>
    <w:rsid w:val="00E45701"/>
    <w:rsid w:val="00E460AC"/>
    <w:rsid w:val="00E47537"/>
    <w:rsid w:val="00E50B21"/>
    <w:rsid w:val="00E528EB"/>
    <w:rsid w:val="00E52B96"/>
    <w:rsid w:val="00E55094"/>
    <w:rsid w:val="00E55B56"/>
    <w:rsid w:val="00E56EC8"/>
    <w:rsid w:val="00E57244"/>
    <w:rsid w:val="00E62299"/>
    <w:rsid w:val="00E62377"/>
    <w:rsid w:val="00E62E12"/>
    <w:rsid w:val="00E62F97"/>
    <w:rsid w:val="00E63A0A"/>
    <w:rsid w:val="00E63D88"/>
    <w:rsid w:val="00E655FC"/>
    <w:rsid w:val="00E65D13"/>
    <w:rsid w:val="00E66B57"/>
    <w:rsid w:val="00E7331B"/>
    <w:rsid w:val="00E74159"/>
    <w:rsid w:val="00E75491"/>
    <w:rsid w:val="00E7600E"/>
    <w:rsid w:val="00E76815"/>
    <w:rsid w:val="00E80EE4"/>
    <w:rsid w:val="00E81F26"/>
    <w:rsid w:val="00E827B0"/>
    <w:rsid w:val="00E82E53"/>
    <w:rsid w:val="00E83384"/>
    <w:rsid w:val="00E90B2A"/>
    <w:rsid w:val="00E92F6E"/>
    <w:rsid w:val="00E94D5B"/>
    <w:rsid w:val="00E95EF7"/>
    <w:rsid w:val="00E95F7B"/>
    <w:rsid w:val="00E96985"/>
    <w:rsid w:val="00E975E4"/>
    <w:rsid w:val="00E97A18"/>
    <w:rsid w:val="00EA0F0C"/>
    <w:rsid w:val="00EA2415"/>
    <w:rsid w:val="00EA2ED5"/>
    <w:rsid w:val="00EA2FAB"/>
    <w:rsid w:val="00EA3400"/>
    <w:rsid w:val="00EA3515"/>
    <w:rsid w:val="00EA3C84"/>
    <w:rsid w:val="00EA3D52"/>
    <w:rsid w:val="00EA4FD9"/>
    <w:rsid w:val="00EA5CCE"/>
    <w:rsid w:val="00EA699F"/>
    <w:rsid w:val="00EA728E"/>
    <w:rsid w:val="00EA72C8"/>
    <w:rsid w:val="00EA7BD8"/>
    <w:rsid w:val="00EB0F45"/>
    <w:rsid w:val="00EB1179"/>
    <w:rsid w:val="00EB1EE3"/>
    <w:rsid w:val="00EB20B2"/>
    <w:rsid w:val="00EB3687"/>
    <w:rsid w:val="00EB67EC"/>
    <w:rsid w:val="00EB72DB"/>
    <w:rsid w:val="00EB7BCE"/>
    <w:rsid w:val="00EC031A"/>
    <w:rsid w:val="00EC04CF"/>
    <w:rsid w:val="00EC1C77"/>
    <w:rsid w:val="00EC2544"/>
    <w:rsid w:val="00EC2C77"/>
    <w:rsid w:val="00EC3858"/>
    <w:rsid w:val="00EC6B5C"/>
    <w:rsid w:val="00EC6B68"/>
    <w:rsid w:val="00EC75AA"/>
    <w:rsid w:val="00ED205E"/>
    <w:rsid w:val="00ED2B9E"/>
    <w:rsid w:val="00ED34A3"/>
    <w:rsid w:val="00ED4693"/>
    <w:rsid w:val="00ED512A"/>
    <w:rsid w:val="00EE09E7"/>
    <w:rsid w:val="00EE112E"/>
    <w:rsid w:val="00EE18AE"/>
    <w:rsid w:val="00EE2A7F"/>
    <w:rsid w:val="00EE315E"/>
    <w:rsid w:val="00EE3295"/>
    <w:rsid w:val="00EE4176"/>
    <w:rsid w:val="00EE444A"/>
    <w:rsid w:val="00EE67D8"/>
    <w:rsid w:val="00EE7E9D"/>
    <w:rsid w:val="00EF4AE7"/>
    <w:rsid w:val="00EF62EA"/>
    <w:rsid w:val="00EF6F01"/>
    <w:rsid w:val="00F01AC9"/>
    <w:rsid w:val="00F027D8"/>
    <w:rsid w:val="00F0455C"/>
    <w:rsid w:val="00F061DA"/>
    <w:rsid w:val="00F062D7"/>
    <w:rsid w:val="00F0721B"/>
    <w:rsid w:val="00F07CDB"/>
    <w:rsid w:val="00F1022E"/>
    <w:rsid w:val="00F12110"/>
    <w:rsid w:val="00F12727"/>
    <w:rsid w:val="00F128E4"/>
    <w:rsid w:val="00F12989"/>
    <w:rsid w:val="00F13A14"/>
    <w:rsid w:val="00F13BBC"/>
    <w:rsid w:val="00F14AEB"/>
    <w:rsid w:val="00F1642B"/>
    <w:rsid w:val="00F16E8E"/>
    <w:rsid w:val="00F179B9"/>
    <w:rsid w:val="00F20C7A"/>
    <w:rsid w:val="00F20ED5"/>
    <w:rsid w:val="00F254E9"/>
    <w:rsid w:val="00F254FD"/>
    <w:rsid w:val="00F25F79"/>
    <w:rsid w:val="00F30C5E"/>
    <w:rsid w:val="00F30F94"/>
    <w:rsid w:val="00F327B9"/>
    <w:rsid w:val="00F3319A"/>
    <w:rsid w:val="00F37346"/>
    <w:rsid w:val="00F40450"/>
    <w:rsid w:val="00F4127F"/>
    <w:rsid w:val="00F4221C"/>
    <w:rsid w:val="00F43FAD"/>
    <w:rsid w:val="00F44E18"/>
    <w:rsid w:val="00F44ED9"/>
    <w:rsid w:val="00F4644E"/>
    <w:rsid w:val="00F4651B"/>
    <w:rsid w:val="00F47202"/>
    <w:rsid w:val="00F47B74"/>
    <w:rsid w:val="00F525F9"/>
    <w:rsid w:val="00F52A6B"/>
    <w:rsid w:val="00F52DE2"/>
    <w:rsid w:val="00F52F4C"/>
    <w:rsid w:val="00F54427"/>
    <w:rsid w:val="00F55239"/>
    <w:rsid w:val="00F5525C"/>
    <w:rsid w:val="00F55F13"/>
    <w:rsid w:val="00F56F2A"/>
    <w:rsid w:val="00F57F1A"/>
    <w:rsid w:val="00F57F7E"/>
    <w:rsid w:val="00F6009B"/>
    <w:rsid w:val="00F670AE"/>
    <w:rsid w:val="00F70F7C"/>
    <w:rsid w:val="00F737EA"/>
    <w:rsid w:val="00F7443A"/>
    <w:rsid w:val="00F7569D"/>
    <w:rsid w:val="00F75AAE"/>
    <w:rsid w:val="00F76465"/>
    <w:rsid w:val="00F77E54"/>
    <w:rsid w:val="00F803E8"/>
    <w:rsid w:val="00F80BC3"/>
    <w:rsid w:val="00F80EF7"/>
    <w:rsid w:val="00F81598"/>
    <w:rsid w:val="00F83E2B"/>
    <w:rsid w:val="00F854E4"/>
    <w:rsid w:val="00F85770"/>
    <w:rsid w:val="00F85D4E"/>
    <w:rsid w:val="00F91143"/>
    <w:rsid w:val="00F91FD2"/>
    <w:rsid w:val="00F927A3"/>
    <w:rsid w:val="00F92EE5"/>
    <w:rsid w:val="00F95D0F"/>
    <w:rsid w:val="00F95E4F"/>
    <w:rsid w:val="00F96CF9"/>
    <w:rsid w:val="00F9707D"/>
    <w:rsid w:val="00F97290"/>
    <w:rsid w:val="00F97316"/>
    <w:rsid w:val="00F97BFA"/>
    <w:rsid w:val="00F97C61"/>
    <w:rsid w:val="00FA0724"/>
    <w:rsid w:val="00FA0F9D"/>
    <w:rsid w:val="00FA2F90"/>
    <w:rsid w:val="00FA5452"/>
    <w:rsid w:val="00FA5E40"/>
    <w:rsid w:val="00FA5FAF"/>
    <w:rsid w:val="00FA6444"/>
    <w:rsid w:val="00FA6449"/>
    <w:rsid w:val="00FB0B3D"/>
    <w:rsid w:val="00FB2A2E"/>
    <w:rsid w:val="00FB31A9"/>
    <w:rsid w:val="00FC0541"/>
    <w:rsid w:val="00FC1678"/>
    <w:rsid w:val="00FC331A"/>
    <w:rsid w:val="00FC36F7"/>
    <w:rsid w:val="00FC3B4B"/>
    <w:rsid w:val="00FC46E4"/>
    <w:rsid w:val="00FC5094"/>
    <w:rsid w:val="00FC62F9"/>
    <w:rsid w:val="00FC637F"/>
    <w:rsid w:val="00FC6394"/>
    <w:rsid w:val="00FC6A8F"/>
    <w:rsid w:val="00FC6A92"/>
    <w:rsid w:val="00FC6AE7"/>
    <w:rsid w:val="00FC6B3F"/>
    <w:rsid w:val="00FC6FA3"/>
    <w:rsid w:val="00FC72FE"/>
    <w:rsid w:val="00FC767A"/>
    <w:rsid w:val="00FD4357"/>
    <w:rsid w:val="00FD45C4"/>
    <w:rsid w:val="00FD6A7A"/>
    <w:rsid w:val="00FD7109"/>
    <w:rsid w:val="00FE0EF3"/>
    <w:rsid w:val="00FE1EB1"/>
    <w:rsid w:val="00FE3532"/>
    <w:rsid w:val="00FE365F"/>
    <w:rsid w:val="00FE508B"/>
    <w:rsid w:val="00FE51B2"/>
    <w:rsid w:val="00FE53F0"/>
    <w:rsid w:val="00FE5816"/>
    <w:rsid w:val="00FE612B"/>
    <w:rsid w:val="00FE677D"/>
    <w:rsid w:val="00FF07E8"/>
    <w:rsid w:val="00FF0810"/>
    <w:rsid w:val="00FF142F"/>
    <w:rsid w:val="00FF1979"/>
    <w:rsid w:val="00FF1F94"/>
    <w:rsid w:val="00FF341A"/>
    <w:rsid w:val="00FF3C98"/>
    <w:rsid w:val="00FF41A9"/>
    <w:rsid w:val="00FF4AD6"/>
    <w:rsid w:val="00FF4FA7"/>
    <w:rsid w:val="00FF514D"/>
    <w:rsid w:val="00FF57E9"/>
    <w:rsid w:val="00FF6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82D415-0B5D-415C-959C-BB6BD1B2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ACF"/>
    <w:pPr>
      <w:widowControl w:val="0"/>
    </w:pPr>
    <w:rPr>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
    <w:name w:val="Char Char1 Char"/>
    <w:basedOn w:val="Normal"/>
    <w:rsid w:val="00C77ACF"/>
    <w:pPr>
      <w:widowControl/>
    </w:pPr>
    <w:rPr>
      <w:snapToGrid/>
      <w:sz w:val="24"/>
      <w:szCs w:val="24"/>
      <w:lang w:val="pl-PL" w:eastAsia="pl-PL"/>
    </w:rPr>
  </w:style>
  <w:style w:type="paragraph" w:styleId="BodyText">
    <w:name w:val="Body Text"/>
    <w:basedOn w:val="Normal"/>
    <w:rsid w:val="00C77ACF"/>
    <w:pPr>
      <w:jc w:val="both"/>
    </w:pPr>
  </w:style>
  <w:style w:type="paragraph" w:styleId="BodyTextIndent">
    <w:name w:val="Body Text Indent"/>
    <w:basedOn w:val="Normal"/>
    <w:rsid w:val="00C77ACF"/>
    <w:pPr>
      <w:spacing w:after="120"/>
      <w:ind w:left="360"/>
    </w:pPr>
  </w:style>
  <w:style w:type="paragraph" w:customStyle="1" w:styleId="BankNormal">
    <w:name w:val="BankNormal"/>
    <w:basedOn w:val="Normal"/>
    <w:rsid w:val="00C77ACF"/>
    <w:pPr>
      <w:widowControl/>
      <w:autoSpaceDN w:val="0"/>
      <w:spacing w:after="240"/>
    </w:pPr>
    <w:rPr>
      <w:snapToGrid/>
      <w:sz w:val="24"/>
      <w:lang w:val="en-US"/>
    </w:rPr>
  </w:style>
  <w:style w:type="table" w:styleId="TableGrid">
    <w:name w:val="Table Grid"/>
    <w:basedOn w:val="TableNormal"/>
    <w:rsid w:val="005E01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single space"/>
    <w:basedOn w:val="Normal"/>
    <w:link w:val="FootnoteTextChar1"/>
    <w:rsid w:val="00B528D9"/>
    <w:pPr>
      <w:suppressAutoHyphens/>
      <w:autoSpaceDN w:val="0"/>
      <w:textAlignment w:val="baseline"/>
    </w:pPr>
    <w:rPr>
      <w:snapToGrid/>
      <w:sz w:val="20"/>
    </w:rPr>
  </w:style>
  <w:style w:type="character" w:customStyle="1" w:styleId="FootnoteTextChar">
    <w:name w:val="Footnote Text Char"/>
    <w:rsid w:val="00B528D9"/>
    <w:rPr>
      <w:snapToGrid/>
      <w:lang w:val="en-GB"/>
    </w:rPr>
  </w:style>
  <w:style w:type="character" w:customStyle="1" w:styleId="FootnoteTextChar1">
    <w:name w:val="Footnote Text Char1"/>
    <w:aliases w:val="ft Char,Footnote Text Char Char Char Char Char Char Char Char Char Char Char,Footnote Text Char Char Char Char Char Char Char Char Char Char Char Char Char,Footnote Text2 Char,ft2 Char,single space Char"/>
    <w:link w:val="FootnoteText"/>
    <w:locked/>
    <w:rsid w:val="00B528D9"/>
    <w:rPr>
      <w:lang w:val="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arattere Carattere Char Char Char Carattere Cha"/>
    <w:rsid w:val="00B528D9"/>
    <w:rPr>
      <w:rFonts w:cs="Times New Roman"/>
      <w:position w:val="0"/>
      <w:vertAlign w:val="superscript"/>
    </w:rPr>
  </w:style>
  <w:style w:type="paragraph" w:styleId="NoSpacing">
    <w:name w:val="No Spacing"/>
    <w:qFormat/>
    <w:rsid w:val="00C3303A"/>
    <w:rPr>
      <w:sz w:val="22"/>
      <w:szCs w:val="24"/>
    </w:rPr>
  </w:style>
  <w:style w:type="character" w:styleId="CommentReference">
    <w:name w:val="annotation reference"/>
    <w:rsid w:val="006D3299"/>
    <w:rPr>
      <w:sz w:val="16"/>
      <w:szCs w:val="16"/>
    </w:rPr>
  </w:style>
  <w:style w:type="paragraph" w:styleId="CommentText">
    <w:name w:val="annotation text"/>
    <w:basedOn w:val="Normal"/>
    <w:link w:val="CommentTextChar"/>
    <w:rsid w:val="006D3299"/>
    <w:rPr>
      <w:sz w:val="20"/>
    </w:rPr>
  </w:style>
  <w:style w:type="character" w:customStyle="1" w:styleId="CommentTextChar">
    <w:name w:val="Comment Text Char"/>
    <w:link w:val="CommentText"/>
    <w:rsid w:val="006D3299"/>
    <w:rPr>
      <w:snapToGrid/>
      <w:lang w:val="en-GB"/>
    </w:rPr>
  </w:style>
  <w:style w:type="paragraph" w:styleId="CommentSubject">
    <w:name w:val="annotation subject"/>
    <w:basedOn w:val="CommentText"/>
    <w:next w:val="CommentText"/>
    <w:link w:val="CommentSubjectChar"/>
    <w:rsid w:val="006D3299"/>
    <w:rPr>
      <w:b/>
      <w:bCs/>
    </w:rPr>
  </w:style>
  <w:style w:type="character" w:customStyle="1" w:styleId="CommentSubjectChar">
    <w:name w:val="Comment Subject Char"/>
    <w:link w:val="CommentSubject"/>
    <w:rsid w:val="006D3299"/>
    <w:rPr>
      <w:b/>
      <w:bCs/>
      <w:snapToGrid/>
      <w:lang w:val="en-GB"/>
    </w:rPr>
  </w:style>
  <w:style w:type="paragraph" w:styleId="BalloonText">
    <w:name w:val="Balloon Text"/>
    <w:basedOn w:val="Normal"/>
    <w:link w:val="BalloonTextChar"/>
    <w:rsid w:val="006D3299"/>
    <w:rPr>
      <w:rFonts w:ascii="Tahoma" w:hAnsi="Tahoma"/>
      <w:sz w:val="16"/>
      <w:szCs w:val="16"/>
    </w:rPr>
  </w:style>
  <w:style w:type="character" w:customStyle="1" w:styleId="BalloonTextChar">
    <w:name w:val="Balloon Text Char"/>
    <w:link w:val="BalloonText"/>
    <w:rsid w:val="006D3299"/>
    <w:rPr>
      <w:rFonts w:ascii="Tahoma" w:hAnsi="Tahoma" w:cs="Tahoma"/>
      <w:snapToGrid/>
      <w:sz w:val="16"/>
      <w:szCs w:val="16"/>
      <w:lang w:val="en-GB"/>
    </w:rPr>
  </w:style>
  <w:style w:type="paragraph" w:styleId="ListParagraph">
    <w:name w:val="List Paragraph"/>
    <w:aliases w:val="List Paragraph (numbered (a))"/>
    <w:basedOn w:val="Normal"/>
    <w:link w:val="ListParagraphChar"/>
    <w:uiPriority w:val="34"/>
    <w:qFormat/>
    <w:rsid w:val="001A0ED7"/>
    <w:pPr>
      <w:widowControl/>
      <w:suppressAutoHyphens/>
      <w:spacing w:after="200" w:line="276" w:lineRule="auto"/>
      <w:ind w:left="720"/>
      <w:contextualSpacing/>
    </w:pPr>
    <w:rPr>
      <w:rFonts w:ascii="Calibri" w:eastAsia="DejaVu Sans" w:hAnsi="Calibri"/>
      <w:snapToGrid/>
      <w:kern w:val="1"/>
      <w:szCs w:val="22"/>
      <w:lang w:eastAsia="ar-SA"/>
    </w:rPr>
  </w:style>
  <w:style w:type="character" w:customStyle="1" w:styleId="ListParagraphChar">
    <w:name w:val="List Paragraph Char"/>
    <w:aliases w:val="List Paragraph (numbered (a)) Char"/>
    <w:link w:val="ListParagraph"/>
    <w:uiPriority w:val="34"/>
    <w:locked/>
    <w:rsid w:val="001A0ED7"/>
    <w:rPr>
      <w:rFonts w:ascii="Calibri" w:eastAsia="DejaVu Sans" w:hAnsi="Calibri" w:cs="font267"/>
      <w:kern w:val="1"/>
      <w:sz w:val="22"/>
      <w:szCs w:val="22"/>
      <w:lang w:val="en-GB" w:eastAsia="ar-SA"/>
    </w:rPr>
  </w:style>
  <w:style w:type="paragraph" w:styleId="Header">
    <w:name w:val="header"/>
    <w:basedOn w:val="Normal"/>
    <w:link w:val="HeaderChar"/>
    <w:rsid w:val="000E7F36"/>
    <w:pPr>
      <w:tabs>
        <w:tab w:val="center" w:pos="4680"/>
        <w:tab w:val="right" w:pos="9360"/>
      </w:tabs>
    </w:pPr>
  </w:style>
  <w:style w:type="character" w:customStyle="1" w:styleId="HeaderChar">
    <w:name w:val="Header Char"/>
    <w:basedOn w:val="DefaultParagraphFont"/>
    <w:link w:val="Header"/>
    <w:rsid w:val="000E7F36"/>
    <w:rPr>
      <w:snapToGrid w:val="0"/>
      <w:sz w:val="22"/>
      <w:lang w:val="en-GB"/>
    </w:rPr>
  </w:style>
  <w:style w:type="paragraph" w:styleId="Footer">
    <w:name w:val="footer"/>
    <w:basedOn w:val="Normal"/>
    <w:link w:val="FooterChar"/>
    <w:uiPriority w:val="99"/>
    <w:rsid w:val="000E7F36"/>
    <w:pPr>
      <w:tabs>
        <w:tab w:val="center" w:pos="4680"/>
        <w:tab w:val="right" w:pos="9360"/>
      </w:tabs>
    </w:pPr>
  </w:style>
  <w:style w:type="character" w:customStyle="1" w:styleId="FooterChar">
    <w:name w:val="Footer Char"/>
    <w:basedOn w:val="DefaultParagraphFont"/>
    <w:link w:val="Footer"/>
    <w:uiPriority w:val="99"/>
    <w:rsid w:val="000E7F36"/>
    <w:rPr>
      <w:snapToGrid w:val="0"/>
      <w:sz w:val="22"/>
      <w:lang w:val="en-GB"/>
    </w:rPr>
  </w:style>
  <w:style w:type="paragraph" w:customStyle="1" w:styleId="ParaAttribute3">
    <w:name w:val="ParaAttribute3"/>
    <w:rsid w:val="006860AF"/>
    <w:pPr>
      <w:widowControl w:val="0"/>
      <w:wordWrap w:val="0"/>
    </w:pPr>
    <w:rPr>
      <w:rFonts w:eastAsia="Batang"/>
    </w:rPr>
  </w:style>
  <w:style w:type="character" w:customStyle="1" w:styleId="CharAttribute0">
    <w:name w:val="CharAttribute0"/>
    <w:rsid w:val="006860AF"/>
    <w:rPr>
      <w:rFonts w:ascii="Times New Roman" w:eastAsia="Times New Roman" w:hAnsi="Times New Roman"/>
      <w:sz w:val="22"/>
    </w:rPr>
  </w:style>
  <w:style w:type="paragraph" w:customStyle="1" w:styleId="ParaAttribute2">
    <w:name w:val="ParaAttribute2"/>
    <w:rsid w:val="003350CC"/>
    <w:pPr>
      <w:widowControl w:val="0"/>
      <w:wordWrap w:val="0"/>
      <w:jc w:val="center"/>
    </w:pPr>
    <w:rPr>
      <w:rFonts w:eastAsia="Batang"/>
    </w:rPr>
  </w:style>
  <w:style w:type="character" w:customStyle="1" w:styleId="CharAttribute3">
    <w:name w:val="CharAttribute3"/>
    <w:rsid w:val="009419FB"/>
    <w:rPr>
      <w:rFonts w:ascii="Times New Roman" w:eastAsia="Times New Roman" w:hAnsi="Times New Roman"/>
      <w:b/>
      <w:sz w:val="22"/>
    </w:rPr>
  </w:style>
  <w:style w:type="paragraph" w:styleId="Revision">
    <w:name w:val="Revision"/>
    <w:hidden/>
    <w:uiPriority w:val="99"/>
    <w:semiHidden/>
    <w:rsid w:val="00651C94"/>
    <w:rPr>
      <w:snapToGrid w:val="0"/>
      <w:sz w:val="22"/>
      <w:lang w:val="en-GB"/>
    </w:rPr>
  </w:style>
  <w:style w:type="character" w:customStyle="1" w:styleId="apple-converted-space">
    <w:name w:val="apple-converted-space"/>
    <w:basedOn w:val="DefaultParagraphFont"/>
    <w:rsid w:val="00EE315E"/>
  </w:style>
  <w:style w:type="paragraph" w:customStyle="1" w:styleId="Default">
    <w:name w:val="Default"/>
    <w:basedOn w:val="Normal"/>
    <w:rsid w:val="00F254FD"/>
    <w:pPr>
      <w:widowControl/>
      <w:autoSpaceDE w:val="0"/>
      <w:autoSpaceDN w:val="0"/>
    </w:pPr>
    <w:rPr>
      <w:rFonts w:ascii="Calibri" w:eastAsiaTheme="minorHAnsi" w:hAnsi="Calibri"/>
      <w:snapToGrid/>
      <w:color w:val="000000"/>
      <w:sz w:val="24"/>
      <w:szCs w:val="24"/>
      <w:lang w:val="en-US"/>
    </w:rPr>
  </w:style>
  <w:style w:type="paragraph" w:styleId="EndnoteText">
    <w:name w:val="endnote text"/>
    <w:basedOn w:val="Normal"/>
    <w:link w:val="EndnoteTextChar"/>
    <w:rsid w:val="00BE28BE"/>
    <w:rPr>
      <w:sz w:val="20"/>
    </w:rPr>
  </w:style>
  <w:style w:type="character" w:customStyle="1" w:styleId="EndnoteTextChar">
    <w:name w:val="Endnote Text Char"/>
    <w:basedOn w:val="DefaultParagraphFont"/>
    <w:link w:val="EndnoteText"/>
    <w:rsid w:val="00BE28BE"/>
    <w:rPr>
      <w:snapToGrid w:val="0"/>
      <w:lang w:val="en-GB"/>
    </w:rPr>
  </w:style>
  <w:style w:type="character" w:styleId="EndnoteReference">
    <w:name w:val="endnote reference"/>
    <w:basedOn w:val="DefaultParagraphFont"/>
    <w:rsid w:val="00BE28BE"/>
    <w:rPr>
      <w:vertAlign w:val="superscript"/>
    </w:rPr>
  </w:style>
  <w:style w:type="paragraph" w:styleId="NormalWeb">
    <w:name w:val="Normal (Web)"/>
    <w:basedOn w:val="Normal"/>
    <w:unhideWhenUsed/>
    <w:rsid w:val="00FA6444"/>
    <w:pPr>
      <w:widowControl/>
      <w:suppressAutoHyphens/>
      <w:spacing w:after="200" w:line="276" w:lineRule="auto"/>
    </w:pPr>
    <w:rPr>
      <w:rFonts w:ascii="Calibri" w:eastAsia="DejaVu Sans" w:hAnsi="Calibri" w:cs="font267"/>
      <w:snapToGrid/>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064">
      <w:bodyDiv w:val="1"/>
      <w:marLeft w:val="0"/>
      <w:marRight w:val="0"/>
      <w:marTop w:val="0"/>
      <w:marBottom w:val="0"/>
      <w:divBdr>
        <w:top w:val="none" w:sz="0" w:space="0" w:color="auto"/>
        <w:left w:val="none" w:sz="0" w:space="0" w:color="auto"/>
        <w:bottom w:val="none" w:sz="0" w:space="0" w:color="auto"/>
        <w:right w:val="none" w:sz="0" w:space="0" w:color="auto"/>
      </w:divBdr>
    </w:div>
    <w:div w:id="56368470">
      <w:bodyDiv w:val="1"/>
      <w:marLeft w:val="0"/>
      <w:marRight w:val="0"/>
      <w:marTop w:val="0"/>
      <w:marBottom w:val="0"/>
      <w:divBdr>
        <w:top w:val="none" w:sz="0" w:space="0" w:color="auto"/>
        <w:left w:val="none" w:sz="0" w:space="0" w:color="auto"/>
        <w:bottom w:val="none" w:sz="0" w:space="0" w:color="auto"/>
        <w:right w:val="none" w:sz="0" w:space="0" w:color="auto"/>
      </w:divBdr>
    </w:div>
    <w:div w:id="82383860">
      <w:bodyDiv w:val="1"/>
      <w:marLeft w:val="0"/>
      <w:marRight w:val="0"/>
      <w:marTop w:val="0"/>
      <w:marBottom w:val="0"/>
      <w:divBdr>
        <w:top w:val="none" w:sz="0" w:space="0" w:color="auto"/>
        <w:left w:val="none" w:sz="0" w:space="0" w:color="auto"/>
        <w:bottom w:val="none" w:sz="0" w:space="0" w:color="auto"/>
        <w:right w:val="none" w:sz="0" w:space="0" w:color="auto"/>
      </w:divBdr>
    </w:div>
    <w:div w:id="98532519">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8665199">
      <w:bodyDiv w:val="1"/>
      <w:marLeft w:val="0"/>
      <w:marRight w:val="0"/>
      <w:marTop w:val="0"/>
      <w:marBottom w:val="0"/>
      <w:divBdr>
        <w:top w:val="none" w:sz="0" w:space="0" w:color="auto"/>
        <w:left w:val="none" w:sz="0" w:space="0" w:color="auto"/>
        <w:bottom w:val="none" w:sz="0" w:space="0" w:color="auto"/>
        <w:right w:val="none" w:sz="0" w:space="0" w:color="auto"/>
      </w:divBdr>
      <w:divsChild>
        <w:div w:id="2045523531">
          <w:marLeft w:val="0"/>
          <w:marRight w:val="0"/>
          <w:marTop w:val="0"/>
          <w:marBottom w:val="0"/>
          <w:divBdr>
            <w:top w:val="none" w:sz="0" w:space="0" w:color="auto"/>
            <w:left w:val="none" w:sz="0" w:space="0" w:color="auto"/>
            <w:bottom w:val="none" w:sz="0" w:space="0" w:color="auto"/>
            <w:right w:val="none" w:sz="0" w:space="0" w:color="auto"/>
          </w:divBdr>
          <w:divsChild>
            <w:div w:id="818808902">
              <w:marLeft w:val="0"/>
              <w:marRight w:val="0"/>
              <w:marTop w:val="0"/>
              <w:marBottom w:val="0"/>
              <w:divBdr>
                <w:top w:val="none" w:sz="0" w:space="0" w:color="auto"/>
                <w:left w:val="none" w:sz="0" w:space="0" w:color="auto"/>
                <w:bottom w:val="none" w:sz="0" w:space="0" w:color="auto"/>
                <w:right w:val="none" w:sz="0" w:space="0" w:color="auto"/>
              </w:divBdr>
              <w:divsChild>
                <w:div w:id="1138573548">
                  <w:marLeft w:val="0"/>
                  <w:marRight w:val="0"/>
                  <w:marTop w:val="0"/>
                  <w:marBottom w:val="0"/>
                  <w:divBdr>
                    <w:top w:val="none" w:sz="0" w:space="0" w:color="auto"/>
                    <w:left w:val="none" w:sz="0" w:space="0" w:color="auto"/>
                    <w:bottom w:val="none" w:sz="0" w:space="0" w:color="auto"/>
                    <w:right w:val="none" w:sz="0" w:space="0" w:color="auto"/>
                  </w:divBdr>
                  <w:divsChild>
                    <w:div w:id="642122801">
                      <w:marLeft w:val="0"/>
                      <w:marRight w:val="0"/>
                      <w:marTop w:val="0"/>
                      <w:marBottom w:val="0"/>
                      <w:divBdr>
                        <w:top w:val="none" w:sz="0" w:space="0" w:color="auto"/>
                        <w:left w:val="none" w:sz="0" w:space="0" w:color="auto"/>
                        <w:bottom w:val="none" w:sz="0" w:space="0" w:color="auto"/>
                        <w:right w:val="none" w:sz="0" w:space="0" w:color="auto"/>
                      </w:divBdr>
                      <w:divsChild>
                        <w:div w:id="974483945">
                          <w:marLeft w:val="0"/>
                          <w:marRight w:val="0"/>
                          <w:marTop w:val="45"/>
                          <w:marBottom w:val="0"/>
                          <w:divBdr>
                            <w:top w:val="none" w:sz="0" w:space="0" w:color="auto"/>
                            <w:left w:val="none" w:sz="0" w:space="0" w:color="auto"/>
                            <w:bottom w:val="none" w:sz="0" w:space="0" w:color="auto"/>
                            <w:right w:val="none" w:sz="0" w:space="0" w:color="auto"/>
                          </w:divBdr>
                          <w:divsChild>
                            <w:div w:id="89546567">
                              <w:marLeft w:val="0"/>
                              <w:marRight w:val="0"/>
                              <w:marTop w:val="0"/>
                              <w:marBottom w:val="0"/>
                              <w:divBdr>
                                <w:top w:val="none" w:sz="0" w:space="0" w:color="auto"/>
                                <w:left w:val="none" w:sz="0" w:space="0" w:color="auto"/>
                                <w:bottom w:val="none" w:sz="0" w:space="0" w:color="auto"/>
                                <w:right w:val="none" w:sz="0" w:space="0" w:color="auto"/>
                              </w:divBdr>
                              <w:divsChild>
                                <w:div w:id="1910192706">
                                  <w:marLeft w:val="3960"/>
                                  <w:marRight w:val="2070"/>
                                  <w:marTop w:val="0"/>
                                  <w:marBottom w:val="0"/>
                                  <w:divBdr>
                                    <w:top w:val="none" w:sz="0" w:space="0" w:color="auto"/>
                                    <w:left w:val="none" w:sz="0" w:space="0" w:color="auto"/>
                                    <w:bottom w:val="none" w:sz="0" w:space="0" w:color="auto"/>
                                    <w:right w:val="none" w:sz="0" w:space="0" w:color="auto"/>
                                  </w:divBdr>
                                  <w:divsChild>
                                    <w:div w:id="995451977">
                                      <w:marLeft w:val="0"/>
                                      <w:marRight w:val="0"/>
                                      <w:marTop w:val="0"/>
                                      <w:marBottom w:val="0"/>
                                      <w:divBdr>
                                        <w:top w:val="none" w:sz="0" w:space="0" w:color="auto"/>
                                        <w:left w:val="none" w:sz="0" w:space="0" w:color="auto"/>
                                        <w:bottom w:val="none" w:sz="0" w:space="0" w:color="auto"/>
                                        <w:right w:val="none" w:sz="0" w:space="0" w:color="auto"/>
                                      </w:divBdr>
                                      <w:divsChild>
                                        <w:div w:id="1563130443">
                                          <w:marLeft w:val="0"/>
                                          <w:marRight w:val="0"/>
                                          <w:marTop w:val="0"/>
                                          <w:marBottom w:val="0"/>
                                          <w:divBdr>
                                            <w:top w:val="none" w:sz="0" w:space="0" w:color="auto"/>
                                            <w:left w:val="none" w:sz="0" w:space="0" w:color="auto"/>
                                            <w:bottom w:val="none" w:sz="0" w:space="0" w:color="auto"/>
                                            <w:right w:val="none" w:sz="0" w:space="0" w:color="auto"/>
                                          </w:divBdr>
                                          <w:divsChild>
                                            <w:div w:id="729424374">
                                              <w:marLeft w:val="0"/>
                                              <w:marRight w:val="0"/>
                                              <w:marTop w:val="0"/>
                                              <w:marBottom w:val="0"/>
                                              <w:divBdr>
                                                <w:top w:val="none" w:sz="0" w:space="0" w:color="auto"/>
                                                <w:left w:val="none" w:sz="0" w:space="0" w:color="auto"/>
                                                <w:bottom w:val="none" w:sz="0" w:space="0" w:color="auto"/>
                                                <w:right w:val="none" w:sz="0" w:space="0" w:color="auto"/>
                                              </w:divBdr>
                                              <w:divsChild>
                                                <w:div w:id="116066179">
                                                  <w:marLeft w:val="0"/>
                                                  <w:marRight w:val="0"/>
                                                  <w:marTop w:val="0"/>
                                                  <w:marBottom w:val="0"/>
                                                  <w:divBdr>
                                                    <w:top w:val="none" w:sz="0" w:space="0" w:color="auto"/>
                                                    <w:left w:val="none" w:sz="0" w:space="0" w:color="auto"/>
                                                    <w:bottom w:val="none" w:sz="0" w:space="0" w:color="auto"/>
                                                    <w:right w:val="none" w:sz="0" w:space="0" w:color="auto"/>
                                                  </w:divBdr>
                                                  <w:divsChild>
                                                    <w:div w:id="1834485047">
                                                      <w:marLeft w:val="0"/>
                                                      <w:marRight w:val="0"/>
                                                      <w:marTop w:val="0"/>
                                                      <w:marBottom w:val="0"/>
                                                      <w:divBdr>
                                                        <w:top w:val="none" w:sz="0" w:space="0" w:color="auto"/>
                                                        <w:left w:val="none" w:sz="0" w:space="0" w:color="auto"/>
                                                        <w:bottom w:val="none" w:sz="0" w:space="0" w:color="auto"/>
                                                        <w:right w:val="none" w:sz="0" w:space="0" w:color="auto"/>
                                                      </w:divBdr>
                                                      <w:divsChild>
                                                        <w:div w:id="834610109">
                                                          <w:marLeft w:val="0"/>
                                                          <w:marRight w:val="0"/>
                                                          <w:marTop w:val="0"/>
                                                          <w:marBottom w:val="0"/>
                                                          <w:divBdr>
                                                            <w:top w:val="none" w:sz="0" w:space="0" w:color="auto"/>
                                                            <w:left w:val="none" w:sz="0" w:space="0" w:color="auto"/>
                                                            <w:bottom w:val="none" w:sz="0" w:space="0" w:color="auto"/>
                                                            <w:right w:val="none" w:sz="0" w:space="0" w:color="auto"/>
                                                          </w:divBdr>
                                                          <w:divsChild>
                                                            <w:div w:id="1894152165">
                                                              <w:marLeft w:val="0"/>
                                                              <w:marRight w:val="0"/>
                                                              <w:marTop w:val="0"/>
                                                              <w:marBottom w:val="0"/>
                                                              <w:divBdr>
                                                                <w:top w:val="none" w:sz="0" w:space="0" w:color="auto"/>
                                                                <w:left w:val="none" w:sz="0" w:space="0" w:color="auto"/>
                                                                <w:bottom w:val="none" w:sz="0" w:space="0" w:color="auto"/>
                                                                <w:right w:val="none" w:sz="0" w:space="0" w:color="auto"/>
                                                              </w:divBdr>
                                                              <w:divsChild>
                                                                <w:div w:id="3384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4535548">
      <w:bodyDiv w:val="1"/>
      <w:marLeft w:val="0"/>
      <w:marRight w:val="0"/>
      <w:marTop w:val="0"/>
      <w:marBottom w:val="0"/>
      <w:divBdr>
        <w:top w:val="none" w:sz="0" w:space="0" w:color="auto"/>
        <w:left w:val="none" w:sz="0" w:space="0" w:color="auto"/>
        <w:bottom w:val="none" w:sz="0" w:space="0" w:color="auto"/>
        <w:right w:val="none" w:sz="0" w:space="0" w:color="auto"/>
      </w:divBdr>
    </w:div>
    <w:div w:id="277953287">
      <w:bodyDiv w:val="1"/>
      <w:marLeft w:val="0"/>
      <w:marRight w:val="0"/>
      <w:marTop w:val="0"/>
      <w:marBottom w:val="0"/>
      <w:divBdr>
        <w:top w:val="none" w:sz="0" w:space="0" w:color="auto"/>
        <w:left w:val="none" w:sz="0" w:space="0" w:color="auto"/>
        <w:bottom w:val="none" w:sz="0" w:space="0" w:color="auto"/>
        <w:right w:val="none" w:sz="0" w:space="0" w:color="auto"/>
      </w:divBdr>
    </w:div>
    <w:div w:id="356854531">
      <w:bodyDiv w:val="1"/>
      <w:marLeft w:val="0"/>
      <w:marRight w:val="0"/>
      <w:marTop w:val="0"/>
      <w:marBottom w:val="0"/>
      <w:divBdr>
        <w:top w:val="none" w:sz="0" w:space="0" w:color="auto"/>
        <w:left w:val="none" w:sz="0" w:space="0" w:color="auto"/>
        <w:bottom w:val="none" w:sz="0" w:space="0" w:color="auto"/>
        <w:right w:val="none" w:sz="0" w:space="0" w:color="auto"/>
      </w:divBdr>
    </w:div>
    <w:div w:id="570239626">
      <w:bodyDiv w:val="1"/>
      <w:marLeft w:val="0"/>
      <w:marRight w:val="0"/>
      <w:marTop w:val="0"/>
      <w:marBottom w:val="0"/>
      <w:divBdr>
        <w:top w:val="none" w:sz="0" w:space="0" w:color="auto"/>
        <w:left w:val="none" w:sz="0" w:space="0" w:color="auto"/>
        <w:bottom w:val="none" w:sz="0" w:space="0" w:color="auto"/>
        <w:right w:val="none" w:sz="0" w:space="0" w:color="auto"/>
      </w:divBdr>
    </w:div>
    <w:div w:id="582375653">
      <w:bodyDiv w:val="1"/>
      <w:marLeft w:val="0"/>
      <w:marRight w:val="0"/>
      <w:marTop w:val="0"/>
      <w:marBottom w:val="0"/>
      <w:divBdr>
        <w:top w:val="none" w:sz="0" w:space="0" w:color="auto"/>
        <w:left w:val="none" w:sz="0" w:space="0" w:color="auto"/>
        <w:bottom w:val="none" w:sz="0" w:space="0" w:color="auto"/>
        <w:right w:val="none" w:sz="0" w:space="0" w:color="auto"/>
      </w:divBdr>
    </w:div>
    <w:div w:id="653877100">
      <w:bodyDiv w:val="1"/>
      <w:marLeft w:val="0"/>
      <w:marRight w:val="0"/>
      <w:marTop w:val="0"/>
      <w:marBottom w:val="0"/>
      <w:divBdr>
        <w:top w:val="none" w:sz="0" w:space="0" w:color="auto"/>
        <w:left w:val="none" w:sz="0" w:space="0" w:color="auto"/>
        <w:bottom w:val="none" w:sz="0" w:space="0" w:color="auto"/>
        <w:right w:val="none" w:sz="0" w:space="0" w:color="auto"/>
      </w:divBdr>
    </w:div>
    <w:div w:id="777480737">
      <w:bodyDiv w:val="1"/>
      <w:marLeft w:val="0"/>
      <w:marRight w:val="0"/>
      <w:marTop w:val="0"/>
      <w:marBottom w:val="0"/>
      <w:divBdr>
        <w:top w:val="none" w:sz="0" w:space="0" w:color="auto"/>
        <w:left w:val="none" w:sz="0" w:space="0" w:color="auto"/>
        <w:bottom w:val="none" w:sz="0" w:space="0" w:color="auto"/>
        <w:right w:val="none" w:sz="0" w:space="0" w:color="auto"/>
      </w:divBdr>
    </w:div>
    <w:div w:id="779105972">
      <w:bodyDiv w:val="1"/>
      <w:marLeft w:val="0"/>
      <w:marRight w:val="0"/>
      <w:marTop w:val="0"/>
      <w:marBottom w:val="0"/>
      <w:divBdr>
        <w:top w:val="none" w:sz="0" w:space="0" w:color="auto"/>
        <w:left w:val="none" w:sz="0" w:space="0" w:color="auto"/>
        <w:bottom w:val="none" w:sz="0" w:space="0" w:color="auto"/>
        <w:right w:val="none" w:sz="0" w:space="0" w:color="auto"/>
      </w:divBdr>
    </w:div>
    <w:div w:id="789319295">
      <w:bodyDiv w:val="1"/>
      <w:marLeft w:val="0"/>
      <w:marRight w:val="0"/>
      <w:marTop w:val="0"/>
      <w:marBottom w:val="0"/>
      <w:divBdr>
        <w:top w:val="none" w:sz="0" w:space="0" w:color="auto"/>
        <w:left w:val="none" w:sz="0" w:space="0" w:color="auto"/>
        <w:bottom w:val="none" w:sz="0" w:space="0" w:color="auto"/>
        <w:right w:val="none" w:sz="0" w:space="0" w:color="auto"/>
      </w:divBdr>
    </w:div>
    <w:div w:id="807821005">
      <w:bodyDiv w:val="1"/>
      <w:marLeft w:val="0"/>
      <w:marRight w:val="0"/>
      <w:marTop w:val="0"/>
      <w:marBottom w:val="0"/>
      <w:divBdr>
        <w:top w:val="none" w:sz="0" w:space="0" w:color="auto"/>
        <w:left w:val="none" w:sz="0" w:space="0" w:color="auto"/>
        <w:bottom w:val="none" w:sz="0" w:space="0" w:color="auto"/>
        <w:right w:val="none" w:sz="0" w:space="0" w:color="auto"/>
      </w:divBdr>
    </w:div>
    <w:div w:id="902449279">
      <w:bodyDiv w:val="1"/>
      <w:marLeft w:val="0"/>
      <w:marRight w:val="0"/>
      <w:marTop w:val="0"/>
      <w:marBottom w:val="0"/>
      <w:divBdr>
        <w:top w:val="none" w:sz="0" w:space="0" w:color="auto"/>
        <w:left w:val="none" w:sz="0" w:space="0" w:color="auto"/>
        <w:bottom w:val="none" w:sz="0" w:space="0" w:color="auto"/>
        <w:right w:val="none" w:sz="0" w:space="0" w:color="auto"/>
      </w:divBdr>
    </w:div>
    <w:div w:id="955717470">
      <w:bodyDiv w:val="1"/>
      <w:marLeft w:val="0"/>
      <w:marRight w:val="0"/>
      <w:marTop w:val="0"/>
      <w:marBottom w:val="0"/>
      <w:divBdr>
        <w:top w:val="none" w:sz="0" w:space="0" w:color="auto"/>
        <w:left w:val="none" w:sz="0" w:space="0" w:color="auto"/>
        <w:bottom w:val="none" w:sz="0" w:space="0" w:color="auto"/>
        <w:right w:val="none" w:sz="0" w:space="0" w:color="auto"/>
      </w:divBdr>
    </w:div>
    <w:div w:id="1069693556">
      <w:bodyDiv w:val="1"/>
      <w:marLeft w:val="0"/>
      <w:marRight w:val="0"/>
      <w:marTop w:val="0"/>
      <w:marBottom w:val="0"/>
      <w:divBdr>
        <w:top w:val="none" w:sz="0" w:space="0" w:color="auto"/>
        <w:left w:val="none" w:sz="0" w:space="0" w:color="auto"/>
        <w:bottom w:val="none" w:sz="0" w:space="0" w:color="auto"/>
        <w:right w:val="none" w:sz="0" w:space="0" w:color="auto"/>
      </w:divBdr>
    </w:div>
    <w:div w:id="1242108569">
      <w:bodyDiv w:val="1"/>
      <w:marLeft w:val="0"/>
      <w:marRight w:val="0"/>
      <w:marTop w:val="0"/>
      <w:marBottom w:val="0"/>
      <w:divBdr>
        <w:top w:val="none" w:sz="0" w:space="0" w:color="auto"/>
        <w:left w:val="none" w:sz="0" w:space="0" w:color="auto"/>
        <w:bottom w:val="none" w:sz="0" w:space="0" w:color="auto"/>
        <w:right w:val="none" w:sz="0" w:space="0" w:color="auto"/>
      </w:divBdr>
    </w:div>
    <w:div w:id="1256524404">
      <w:bodyDiv w:val="1"/>
      <w:marLeft w:val="0"/>
      <w:marRight w:val="0"/>
      <w:marTop w:val="0"/>
      <w:marBottom w:val="0"/>
      <w:divBdr>
        <w:top w:val="none" w:sz="0" w:space="0" w:color="auto"/>
        <w:left w:val="none" w:sz="0" w:space="0" w:color="auto"/>
        <w:bottom w:val="none" w:sz="0" w:space="0" w:color="auto"/>
        <w:right w:val="none" w:sz="0" w:space="0" w:color="auto"/>
      </w:divBdr>
    </w:div>
    <w:div w:id="1404377438">
      <w:bodyDiv w:val="1"/>
      <w:marLeft w:val="0"/>
      <w:marRight w:val="0"/>
      <w:marTop w:val="0"/>
      <w:marBottom w:val="0"/>
      <w:divBdr>
        <w:top w:val="none" w:sz="0" w:space="0" w:color="auto"/>
        <w:left w:val="none" w:sz="0" w:space="0" w:color="auto"/>
        <w:bottom w:val="none" w:sz="0" w:space="0" w:color="auto"/>
        <w:right w:val="none" w:sz="0" w:space="0" w:color="auto"/>
      </w:divBdr>
    </w:div>
    <w:div w:id="1562062119">
      <w:bodyDiv w:val="1"/>
      <w:marLeft w:val="0"/>
      <w:marRight w:val="0"/>
      <w:marTop w:val="0"/>
      <w:marBottom w:val="0"/>
      <w:divBdr>
        <w:top w:val="none" w:sz="0" w:space="0" w:color="auto"/>
        <w:left w:val="none" w:sz="0" w:space="0" w:color="auto"/>
        <w:bottom w:val="none" w:sz="0" w:space="0" w:color="auto"/>
        <w:right w:val="none" w:sz="0" w:space="0" w:color="auto"/>
      </w:divBdr>
    </w:div>
    <w:div w:id="1605990555">
      <w:bodyDiv w:val="1"/>
      <w:marLeft w:val="0"/>
      <w:marRight w:val="0"/>
      <w:marTop w:val="0"/>
      <w:marBottom w:val="0"/>
      <w:divBdr>
        <w:top w:val="none" w:sz="0" w:space="0" w:color="auto"/>
        <w:left w:val="none" w:sz="0" w:space="0" w:color="auto"/>
        <w:bottom w:val="none" w:sz="0" w:space="0" w:color="auto"/>
        <w:right w:val="none" w:sz="0" w:space="0" w:color="auto"/>
      </w:divBdr>
    </w:div>
    <w:div w:id="1779257550">
      <w:bodyDiv w:val="1"/>
      <w:marLeft w:val="0"/>
      <w:marRight w:val="0"/>
      <w:marTop w:val="0"/>
      <w:marBottom w:val="0"/>
      <w:divBdr>
        <w:top w:val="none" w:sz="0" w:space="0" w:color="auto"/>
        <w:left w:val="none" w:sz="0" w:space="0" w:color="auto"/>
        <w:bottom w:val="none" w:sz="0" w:space="0" w:color="auto"/>
        <w:right w:val="none" w:sz="0" w:space="0" w:color="auto"/>
      </w:divBdr>
    </w:div>
    <w:div w:id="1860000454">
      <w:bodyDiv w:val="1"/>
      <w:marLeft w:val="0"/>
      <w:marRight w:val="0"/>
      <w:marTop w:val="0"/>
      <w:marBottom w:val="0"/>
      <w:divBdr>
        <w:top w:val="none" w:sz="0" w:space="0" w:color="auto"/>
        <w:left w:val="none" w:sz="0" w:space="0" w:color="auto"/>
        <w:bottom w:val="none" w:sz="0" w:space="0" w:color="auto"/>
        <w:right w:val="none" w:sz="0" w:space="0" w:color="auto"/>
      </w:divBdr>
    </w:div>
    <w:div w:id="1909996750">
      <w:bodyDiv w:val="1"/>
      <w:marLeft w:val="0"/>
      <w:marRight w:val="0"/>
      <w:marTop w:val="0"/>
      <w:marBottom w:val="0"/>
      <w:divBdr>
        <w:top w:val="none" w:sz="0" w:space="0" w:color="auto"/>
        <w:left w:val="none" w:sz="0" w:space="0" w:color="auto"/>
        <w:bottom w:val="none" w:sz="0" w:space="0" w:color="auto"/>
        <w:right w:val="none" w:sz="0" w:space="0" w:color="auto"/>
      </w:divBdr>
    </w:div>
    <w:div w:id="1936816430">
      <w:bodyDiv w:val="1"/>
      <w:marLeft w:val="0"/>
      <w:marRight w:val="0"/>
      <w:marTop w:val="0"/>
      <w:marBottom w:val="0"/>
      <w:divBdr>
        <w:top w:val="none" w:sz="0" w:space="0" w:color="auto"/>
        <w:left w:val="none" w:sz="0" w:space="0" w:color="auto"/>
        <w:bottom w:val="none" w:sz="0" w:space="0" w:color="auto"/>
        <w:right w:val="none" w:sz="0" w:space="0" w:color="auto"/>
      </w:divBdr>
      <w:divsChild>
        <w:div w:id="77100897">
          <w:marLeft w:val="0"/>
          <w:marRight w:val="0"/>
          <w:marTop w:val="0"/>
          <w:marBottom w:val="0"/>
          <w:divBdr>
            <w:top w:val="none" w:sz="0" w:space="0" w:color="auto"/>
            <w:left w:val="none" w:sz="0" w:space="0" w:color="auto"/>
            <w:bottom w:val="none" w:sz="0" w:space="0" w:color="auto"/>
            <w:right w:val="none" w:sz="0" w:space="0" w:color="auto"/>
          </w:divBdr>
          <w:divsChild>
            <w:div w:id="405735948">
              <w:marLeft w:val="0"/>
              <w:marRight w:val="0"/>
              <w:marTop w:val="0"/>
              <w:marBottom w:val="0"/>
              <w:divBdr>
                <w:top w:val="none" w:sz="0" w:space="0" w:color="auto"/>
                <w:left w:val="none" w:sz="0" w:space="0" w:color="auto"/>
                <w:bottom w:val="none" w:sz="0" w:space="0" w:color="auto"/>
                <w:right w:val="none" w:sz="0" w:space="0" w:color="auto"/>
              </w:divBdr>
              <w:divsChild>
                <w:div w:id="1686515636">
                  <w:marLeft w:val="0"/>
                  <w:marRight w:val="0"/>
                  <w:marTop w:val="0"/>
                  <w:marBottom w:val="0"/>
                  <w:divBdr>
                    <w:top w:val="none" w:sz="0" w:space="0" w:color="auto"/>
                    <w:left w:val="none" w:sz="0" w:space="0" w:color="auto"/>
                    <w:bottom w:val="none" w:sz="0" w:space="0" w:color="auto"/>
                    <w:right w:val="none" w:sz="0" w:space="0" w:color="auto"/>
                  </w:divBdr>
                  <w:divsChild>
                    <w:div w:id="207423588">
                      <w:marLeft w:val="0"/>
                      <w:marRight w:val="0"/>
                      <w:marTop w:val="0"/>
                      <w:marBottom w:val="0"/>
                      <w:divBdr>
                        <w:top w:val="none" w:sz="0" w:space="0" w:color="auto"/>
                        <w:left w:val="none" w:sz="0" w:space="0" w:color="auto"/>
                        <w:bottom w:val="none" w:sz="0" w:space="0" w:color="auto"/>
                        <w:right w:val="none" w:sz="0" w:space="0" w:color="auto"/>
                      </w:divBdr>
                      <w:divsChild>
                        <w:div w:id="2044866116">
                          <w:marLeft w:val="0"/>
                          <w:marRight w:val="0"/>
                          <w:marTop w:val="45"/>
                          <w:marBottom w:val="0"/>
                          <w:divBdr>
                            <w:top w:val="none" w:sz="0" w:space="0" w:color="auto"/>
                            <w:left w:val="none" w:sz="0" w:space="0" w:color="auto"/>
                            <w:bottom w:val="none" w:sz="0" w:space="0" w:color="auto"/>
                            <w:right w:val="none" w:sz="0" w:space="0" w:color="auto"/>
                          </w:divBdr>
                          <w:divsChild>
                            <w:div w:id="932863379">
                              <w:marLeft w:val="0"/>
                              <w:marRight w:val="0"/>
                              <w:marTop w:val="0"/>
                              <w:marBottom w:val="0"/>
                              <w:divBdr>
                                <w:top w:val="none" w:sz="0" w:space="0" w:color="auto"/>
                                <w:left w:val="none" w:sz="0" w:space="0" w:color="auto"/>
                                <w:bottom w:val="none" w:sz="0" w:space="0" w:color="auto"/>
                                <w:right w:val="none" w:sz="0" w:space="0" w:color="auto"/>
                              </w:divBdr>
                              <w:divsChild>
                                <w:div w:id="1740984577">
                                  <w:marLeft w:val="3960"/>
                                  <w:marRight w:val="2070"/>
                                  <w:marTop w:val="0"/>
                                  <w:marBottom w:val="0"/>
                                  <w:divBdr>
                                    <w:top w:val="none" w:sz="0" w:space="0" w:color="auto"/>
                                    <w:left w:val="none" w:sz="0" w:space="0" w:color="auto"/>
                                    <w:bottom w:val="none" w:sz="0" w:space="0" w:color="auto"/>
                                    <w:right w:val="none" w:sz="0" w:space="0" w:color="auto"/>
                                  </w:divBdr>
                                  <w:divsChild>
                                    <w:div w:id="1482845521">
                                      <w:marLeft w:val="0"/>
                                      <w:marRight w:val="0"/>
                                      <w:marTop w:val="0"/>
                                      <w:marBottom w:val="0"/>
                                      <w:divBdr>
                                        <w:top w:val="none" w:sz="0" w:space="0" w:color="auto"/>
                                        <w:left w:val="none" w:sz="0" w:space="0" w:color="auto"/>
                                        <w:bottom w:val="none" w:sz="0" w:space="0" w:color="auto"/>
                                        <w:right w:val="none" w:sz="0" w:space="0" w:color="auto"/>
                                      </w:divBdr>
                                      <w:divsChild>
                                        <w:div w:id="374431973">
                                          <w:marLeft w:val="0"/>
                                          <w:marRight w:val="0"/>
                                          <w:marTop w:val="0"/>
                                          <w:marBottom w:val="0"/>
                                          <w:divBdr>
                                            <w:top w:val="none" w:sz="0" w:space="0" w:color="auto"/>
                                            <w:left w:val="none" w:sz="0" w:space="0" w:color="auto"/>
                                            <w:bottom w:val="none" w:sz="0" w:space="0" w:color="auto"/>
                                            <w:right w:val="none" w:sz="0" w:space="0" w:color="auto"/>
                                          </w:divBdr>
                                          <w:divsChild>
                                            <w:div w:id="1674063335">
                                              <w:marLeft w:val="0"/>
                                              <w:marRight w:val="0"/>
                                              <w:marTop w:val="0"/>
                                              <w:marBottom w:val="0"/>
                                              <w:divBdr>
                                                <w:top w:val="none" w:sz="0" w:space="0" w:color="auto"/>
                                                <w:left w:val="none" w:sz="0" w:space="0" w:color="auto"/>
                                                <w:bottom w:val="none" w:sz="0" w:space="0" w:color="auto"/>
                                                <w:right w:val="none" w:sz="0" w:space="0" w:color="auto"/>
                                              </w:divBdr>
                                              <w:divsChild>
                                                <w:div w:id="1062558248">
                                                  <w:marLeft w:val="0"/>
                                                  <w:marRight w:val="0"/>
                                                  <w:marTop w:val="0"/>
                                                  <w:marBottom w:val="0"/>
                                                  <w:divBdr>
                                                    <w:top w:val="none" w:sz="0" w:space="0" w:color="auto"/>
                                                    <w:left w:val="none" w:sz="0" w:space="0" w:color="auto"/>
                                                    <w:bottom w:val="none" w:sz="0" w:space="0" w:color="auto"/>
                                                    <w:right w:val="none" w:sz="0" w:space="0" w:color="auto"/>
                                                  </w:divBdr>
                                                  <w:divsChild>
                                                    <w:div w:id="939680309">
                                                      <w:marLeft w:val="0"/>
                                                      <w:marRight w:val="0"/>
                                                      <w:marTop w:val="0"/>
                                                      <w:marBottom w:val="0"/>
                                                      <w:divBdr>
                                                        <w:top w:val="none" w:sz="0" w:space="0" w:color="auto"/>
                                                        <w:left w:val="none" w:sz="0" w:space="0" w:color="auto"/>
                                                        <w:bottom w:val="none" w:sz="0" w:space="0" w:color="auto"/>
                                                        <w:right w:val="none" w:sz="0" w:space="0" w:color="auto"/>
                                                      </w:divBdr>
                                                      <w:divsChild>
                                                        <w:div w:id="1837071854">
                                                          <w:marLeft w:val="0"/>
                                                          <w:marRight w:val="0"/>
                                                          <w:marTop w:val="0"/>
                                                          <w:marBottom w:val="0"/>
                                                          <w:divBdr>
                                                            <w:top w:val="none" w:sz="0" w:space="0" w:color="auto"/>
                                                            <w:left w:val="none" w:sz="0" w:space="0" w:color="auto"/>
                                                            <w:bottom w:val="none" w:sz="0" w:space="0" w:color="auto"/>
                                                            <w:right w:val="none" w:sz="0" w:space="0" w:color="auto"/>
                                                          </w:divBdr>
                                                          <w:divsChild>
                                                            <w:div w:id="417680062">
                                                              <w:marLeft w:val="0"/>
                                                              <w:marRight w:val="0"/>
                                                              <w:marTop w:val="0"/>
                                                              <w:marBottom w:val="0"/>
                                                              <w:divBdr>
                                                                <w:top w:val="none" w:sz="0" w:space="0" w:color="auto"/>
                                                                <w:left w:val="none" w:sz="0" w:space="0" w:color="auto"/>
                                                                <w:bottom w:val="none" w:sz="0" w:space="0" w:color="auto"/>
                                                                <w:right w:val="none" w:sz="0" w:space="0" w:color="auto"/>
                                                              </w:divBdr>
                                                              <w:divsChild>
                                                                <w:div w:id="12492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935533">
      <w:bodyDiv w:val="1"/>
      <w:marLeft w:val="0"/>
      <w:marRight w:val="0"/>
      <w:marTop w:val="0"/>
      <w:marBottom w:val="0"/>
      <w:divBdr>
        <w:top w:val="none" w:sz="0" w:space="0" w:color="auto"/>
        <w:left w:val="none" w:sz="0" w:space="0" w:color="auto"/>
        <w:bottom w:val="none" w:sz="0" w:space="0" w:color="auto"/>
        <w:right w:val="none" w:sz="0" w:space="0" w:color="auto"/>
      </w:divBdr>
    </w:div>
    <w:div w:id="2110002545">
      <w:bodyDiv w:val="1"/>
      <w:marLeft w:val="0"/>
      <w:marRight w:val="0"/>
      <w:marTop w:val="0"/>
      <w:marBottom w:val="0"/>
      <w:divBdr>
        <w:top w:val="none" w:sz="0" w:space="0" w:color="auto"/>
        <w:left w:val="none" w:sz="0" w:space="0" w:color="auto"/>
        <w:bottom w:val="none" w:sz="0" w:space="0" w:color="auto"/>
        <w:right w:val="none" w:sz="0" w:space="0" w:color="auto"/>
      </w:divBdr>
    </w:div>
    <w:div w:id="21336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9DD11-C2C7-4629-BA3F-9A9FEFA9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6809</Words>
  <Characters>38814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Project D2-11</vt:lpstr>
    </vt:vector>
  </TitlesOfParts>
  <Company>GX270 June 2004 Build</Company>
  <LinksUpToDate>false</LinksUpToDate>
  <CharactersWithSpaces>45532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D2-11</dc:title>
  <dc:creator>UNDP</dc:creator>
  <cp:lastModifiedBy>Safaa Wasfi</cp:lastModifiedBy>
  <cp:revision>2</cp:revision>
  <cp:lastPrinted>2014-10-15T11:04:00Z</cp:lastPrinted>
  <dcterms:created xsi:type="dcterms:W3CDTF">2015-07-21T05:12:00Z</dcterms:created>
  <dcterms:modified xsi:type="dcterms:W3CDTF">2015-07-21T05:12:00Z</dcterms:modified>
</cp:coreProperties>
</file>