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D90" w:rsidRPr="004658BE" w:rsidRDefault="00090D90" w:rsidP="004658BE">
      <w:pPr>
        <w:jc w:val="center"/>
        <w:rPr>
          <w:b/>
          <w:u w:val="single"/>
        </w:rPr>
      </w:pPr>
    </w:p>
    <w:p w:rsidR="002041C6" w:rsidRPr="00E37C09" w:rsidRDefault="002041C6" w:rsidP="002041C6">
      <w:pPr>
        <w:jc w:val="center"/>
        <w:rPr>
          <w:b/>
        </w:rPr>
      </w:pPr>
      <w:r>
        <w:rPr>
          <w:b/>
        </w:rPr>
        <w:t>SL-MDTF</w:t>
      </w:r>
    </w:p>
    <w:p w:rsidR="002041C6" w:rsidRPr="00675DCC" w:rsidRDefault="002041C6" w:rsidP="002041C6">
      <w:pPr>
        <w:rPr>
          <w:sz w:val="14"/>
          <w:szCs w:val="16"/>
        </w:rPr>
      </w:pPr>
    </w:p>
    <w:p w:rsidR="002041C6" w:rsidRDefault="002041C6" w:rsidP="002041C6">
      <w:pPr>
        <w:jc w:val="center"/>
        <w:rPr>
          <w:b/>
          <w:bCs/>
          <w:caps/>
        </w:rPr>
      </w:pPr>
      <w:r w:rsidRPr="00675DCC">
        <w:rPr>
          <w:b/>
          <w:bCs/>
          <w:caps/>
        </w:rPr>
        <w:t>ANNUAL</w:t>
      </w:r>
      <w:r>
        <w:rPr>
          <w:b/>
          <w:bCs/>
          <w:caps/>
        </w:rPr>
        <w:t xml:space="preserve"> programme</w:t>
      </w:r>
      <w:r w:rsidRPr="00675DCC">
        <w:rPr>
          <w:b/>
          <w:bCs/>
          <w:caps/>
        </w:rPr>
        <w:t xml:space="preserve"> NARRATIVE progress report </w:t>
      </w:r>
    </w:p>
    <w:p w:rsidR="002041C6" w:rsidRDefault="002041C6" w:rsidP="002041C6">
      <w:pPr>
        <w:jc w:val="center"/>
        <w:rPr>
          <w:b/>
          <w:bCs/>
          <w:caps/>
        </w:rPr>
      </w:pPr>
    </w:p>
    <w:p w:rsidR="002041C6" w:rsidRDefault="002041C6" w:rsidP="002041C6">
      <w:pPr>
        <w:jc w:val="center"/>
        <w:rPr>
          <w:b/>
          <w:bCs/>
          <w:caps/>
        </w:rPr>
      </w:pPr>
      <w:r>
        <w:rPr>
          <w:b/>
          <w:bCs/>
          <w:caps/>
        </w:rPr>
        <w:t>REPORTING PERIOD: 1 january – 31 December 2010</w:t>
      </w:r>
    </w:p>
    <w:p w:rsidR="002041C6" w:rsidRDefault="002041C6" w:rsidP="002041C6">
      <w:pPr>
        <w:jc w:val="center"/>
        <w:rPr>
          <w:b/>
          <w:bCs/>
          <w:caps/>
        </w:rPr>
      </w:pPr>
    </w:p>
    <w:tbl>
      <w:tblPr>
        <w:tblW w:w="10260" w:type="dxa"/>
        <w:tblInd w:w="-72" w:type="dxa"/>
        <w:tblLayout w:type="fixed"/>
        <w:tblLook w:val="01E0"/>
      </w:tblPr>
      <w:tblGrid>
        <w:gridCol w:w="5040"/>
        <w:gridCol w:w="360"/>
        <w:gridCol w:w="4860"/>
      </w:tblGrid>
      <w:tr w:rsidR="002041C6" w:rsidRPr="00947685" w:rsidTr="000D7614">
        <w:trPr>
          <w:trHeight w:val="206"/>
        </w:trPr>
        <w:tc>
          <w:tcPr>
            <w:tcW w:w="5040" w:type="dxa"/>
            <w:tcBorders>
              <w:top w:val="single" w:sz="4" w:space="0" w:color="auto"/>
              <w:left w:val="single" w:sz="4" w:space="0" w:color="auto"/>
              <w:right w:val="single" w:sz="4" w:space="0" w:color="auto"/>
            </w:tcBorders>
            <w:shd w:val="clear" w:color="auto" w:fill="F3F3F3"/>
            <w:vAlign w:val="center"/>
          </w:tcPr>
          <w:p w:rsidR="002041C6" w:rsidRPr="00947685" w:rsidRDefault="002041C6" w:rsidP="000D7614">
            <w:pPr>
              <w:pStyle w:val="H1"/>
              <w:jc w:val="center"/>
              <w:rPr>
                <w:rFonts w:cs="Times New Roman"/>
              </w:rPr>
            </w:pPr>
            <w:r>
              <w:rPr>
                <w:rFonts w:cs="Times New Roman"/>
              </w:rPr>
              <w:t>Programme Title &amp; Number</w:t>
            </w:r>
          </w:p>
        </w:tc>
        <w:tc>
          <w:tcPr>
            <w:tcW w:w="360" w:type="dxa"/>
            <w:vMerge w:val="restart"/>
            <w:tcBorders>
              <w:left w:val="single" w:sz="4" w:space="0" w:color="auto"/>
              <w:right w:val="single" w:sz="4" w:space="0" w:color="auto"/>
            </w:tcBorders>
            <w:vAlign w:val="center"/>
          </w:tcPr>
          <w:p w:rsidR="002041C6" w:rsidRPr="00947685" w:rsidRDefault="002041C6" w:rsidP="000D7614">
            <w:pPr>
              <w:jc w:val="center"/>
            </w:pPr>
          </w:p>
        </w:tc>
        <w:tc>
          <w:tcPr>
            <w:tcW w:w="4860" w:type="dxa"/>
            <w:tcBorders>
              <w:top w:val="single" w:sz="4" w:space="0" w:color="auto"/>
              <w:left w:val="single" w:sz="4" w:space="0" w:color="auto"/>
              <w:right w:val="single" w:sz="4" w:space="0" w:color="auto"/>
            </w:tcBorders>
            <w:shd w:val="clear" w:color="auto" w:fill="F3F3F3"/>
            <w:vAlign w:val="center"/>
          </w:tcPr>
          <w:p w:rsidR="002041C6" w:rsidRPr="00E407A4" w:rsidRDefault="002041C6" w:rsidP="000D7614">
            <w:pPr>
              <w:pStyle w:val="H1"/>
              <w:jc w:val="center"/>
              <w:rPr>
                <w:rFonts w:cs="Times New Roman"/>
              </w:rPr>
            </w:pPr>
            <w:r>
              <w:rPr>
                <w:rFonts w:cs="Times New Roman"/>
              </w:rPr>
              <w:t>Country, Locality(s), Thematic Area(s)</w:t>
            </w:r>
          </w:p>
        </w:tc>
      </w:tr>
      <w:tr w:rsidR="002041C6" w:rsidRPr="00947685" w:rsidTr="000D7614">
        <w:trPr>
          <w:trHeight w:val="495"/>
        </w:trPr>
        <w:tc>
          <w:tcPr>
            <w:tcW w:w="5040" w:type="dxa"/>
            <w:tcBorders>
              <w:left w:val="single" w:sz="4" w:space="0" w:color="auto"/>
              <w:bottom w:val="single" w:sz="4" w:space="0" w:color="auto"/>
              <w:right w:val="single" w:sz="4" w:space="0" w:color="auto"/>
            </w:tcBorders>
          </w:tcPr>
          <w:p w:rsidR="002041C6" w:rsidRPr="009A75F8" w:rsidRDefault="002041C6" w:rsidP="002C4CB0">
            <w:pPr>
              <w:pStyle w:val="BodyText"/>
              <w:spacing w:before="60" w:after="60"/>
              <w:ind w:left="-18"/>
              <w:jc w:val="both"/>
              <w:rPr>
                <w:rFonts w:ascii="Times New Roman" w:hAnsi="Times New Roman"/>
                <w:bCs/>
                <w:iCs/>
                <w:snapToGrid w:val="0"/>
                <w:szCs w:val="28"/>
              </w:rPr>
            </w:pPr>
            <w:r w:rsidRPr="009A75F8">
              <w:rPr>
                <w:rFonts w:ascii="Times New Roman" w:hAnsi="Times New Roman"/>
                <w:bCs/>
                <w:iCs/>
                <w:snapToGrid w:val="0"/>
                <w:szCs w:val="28"/>
              </w:rPr>
              <w:t>Programme Title:</w:t>
            </w:r>
            <w:r>
              <w:rPr>
                <w:rFonts w:ascii="Times New Roman" w:hAnsi="Times New Roman"/>
                <w:bCs/>
                <w:iCs/>
                <w:snapToGrid w:val="0"/>
                <w:szCs w:val="28"/>
              </w:rPr>
              <w:t xml:space="preserve"> HIV/AIDS and Malaria Programme</w:t>
            </w:r>
          </w:p>
          <w:p w:rsidR="002041C6" w:rsidRPr="00BE44B1" w:rsidRDefault="002041C6" w:rsidP="002C4CB0">
            <w:pPr>
              <w:pStyle w:val="BodyText"/>
              <w:spacing w:before="60" w:after="60"/>
              <w:ind w:left="-18"/>
              <w:jc w:val="both"/>
              <w:rPr>
                <w:rFonts w:ascii="Times New Roman" w:hAnsi="Times New Roman" w:cs="Times New Roman"/>
                <w:bCs/>
                <w:i/>
                <w:iCs/>
                <w:snapToGrid w:val="0"/>
                <w:sz w:val="18"/>
                <w:szCs w:val="18"/>
                <w:lang w:val="fr-FR"/>
              </w:rPr>
            </w:pPr>
            <w:r w:rsidRPr="0096192F">
              <w:rPr>
                <w:rFonts w:ascii="Times New Roman" w:hAnsi="Times New Roman"/>
                <w:bCs/>
                <w:iCs/>
                <w:snapToGrid w:val="0"/>
                <w:szCs w:val="28"/>
                <w:lang w:val="fr-FR"/>
              </w:rPr>
              <w:t>Programme N</w:t>
            </w:r>
            <w:r w:rsidRPr="00BE44B1">
              <w:rPr>
                <w:rFonts w:ascii="Times New Roman" w:hAnsi="Times New Roman"/>
                <w:bCs/>
                <w:iCs/>
                <w:snapToGrid w:val="0"/>
                <w:szCs w:val="28"/>
                <w:lang w:val="fr-FR"/>
              </w:rPr>
              <w:t xml:space="preserve">umber UN Joint Vision Programme 6 </w:t>
            </w:r>
          </w:p>
          <w:p w:rsidR="002041C6" w:rsidRPr="00BE44B1" w:rsidRDefault="002041C6" w:rsidP="002C4CB0">
            <w:pPr>
              <w:pStyle w:val="BodyText"/>
              <w:spacing w:before="60" w:after="60"/>
              <w:ind w:left="-18"/>
              <w:jc w:val="both"/>
              <w:rPr>
                <w:rFonts w:ascii="Times New Roman" w:hAnsi="Times New Roman"/>
                <w:i/>
              </w:rPr>
            </w:pPr>
            <w:r w:rsidRPr="00BE44B1">
              <w:rPr>
                <w:rFonts w:ascii="Times New Roman" w:hAnsi="Times New Roman"/>
                <w:bCs/>
                <w:iCs/>
                <w:snapToGrid w:val="0"/>
                <w:szCs w:val="28"/>
              </w:rPr>
              <w:t>MDTF Office Atlas Number:</w:t>
            </w:r>
            <w:r w:rsidRPr="00BE44B1">
              <w:rPr>
                <w:rFonts w:ascii="Times New Roman" w:hAnsi="Times New Roman"/>
                <w:i/>
              </w:rPr>
              <w:t xml:space="preserve"> </w:t>
            </w:r>
          </w:p>
          <w:p w:rsidR="002041C6" w:rsidRPr="00BE44B1" w:rsidRDefault="00D25270" w:rsidP="00BE44B1">
            <w:pPr>
              <w:pStyle w:val="BodyText"/>
              <w:numPr>
                <w:ilvl w:val="0"/>
                <w:numId w:val="3"/>
              </w:numPr>
              <w:spacing w:before="60" w:after="60"/>
              <w:ind w:left="342"/>
              <w:jc w:val="both"/>
              <w:rPr>
                <w:rFonts w:ascii="Times New Roman" w:hAnsi="Times New Roman"/>
                <w:i/>
              </w:rPr>
            </w:pPr>
            <w:r w:rsidRPr="00BE44B1">
              <w:rPr>
                <w:rFonts w:ascii="Times New Roman" w:hAnsi="Times New Roman"/>
                <w:i/>
              </w:rPr>
              <w:t>00075575</w:t>
            </w:r>
            <w:r>
              <w:rPr>
                <w:rFonts w:ascii="Times New Roman" w:hAnsi="Times New Roman"/>
                <w:i/>
              </w:rPr>
              <w:t xml:space="preserve"> </w:t>
            </w:r>
            <w:r w:rsidR="002C4CB0" w:rsidRPr="002C4CB0">
              <w:rPr>
                <w:rFonts w:ascii="Times New Roman" w:hAnsi="Times New Roman"/>
                <w:i/>
              </w:rPr>
              <w:t>Nutritional Suppor</w:t>
            </w:r>
            <w:r w:rsidR="002C4CB0">
              <w:rPr>
                <w:rFonts w:ascii="Times New Roman" w:hAnsi="Times New Roman"/>
                <w:i/>
              </w:rPr>
              <w:t xml:space="preserve">t </w:t>
            </w:r>
            <w:r w:rsidR="002041C6" w:rsidRPr="00BE44B1">
              <w:rPr>
                <w:rFonts w:ascii="Times New Roman" w:hAnsi="Times New Roman"/>
                <w:i/>
              </w:rPr>
              <w:t>WFP:</w:t>
            </w:r>
            <w:r w:rsidR="00BE44B1" w:rsidRPr="00BE44B1">
              <w:rPr>
                <w:rFonts w:ascii="Times New Roman" w:hAnsi="Times New Roman"/>
                <w:i/>
              </w:rPr>
              <w:t xml:space="preserve"> </w:t>
            </w:r>
          </w:p>
          <w:p w:rsidR="002041C6" w:rsidRPr="00BE44B1" w:rsidRDefault="00D25270" w:rsidP="00BE44B1">
            <w:pPr>
              <w:pStyle w:val="BodyText"/>
              <w:numPr>
                <w:ilvl w:val="0"/>
                <w:numId w:val="3"/>
              </w:numPr>
              <w:spacing w:before="60" w:after="60"/>
              <w:ind w:left="342"/>
              <w:jc w:val="both"/>
              <w:rPr>
                <w:rFonts w:ascii="Times New Roman" w:hAnsi="Times New Roman"/>
                <w:i/>
              </w:rPr>
            </w:pPr>
            <w:r w:rsidRPr="00BE44B1">
              <w:rPr>
                <w:rFonts w:ascii="Times New Roman" w:hAnsi="Times New Roman"/>
                <w:i/>
              </w:rPr>
              <w:t>00075571</w:t>
            </w:r>
            <w:r>
              <w:rPr>
                <w:rFonts w:ascii="Times New Roman" w:hAnsi="Times New Roman"/>
                <w:i/>
              </w:rPr>
              <w:t xml:space="preserve"> </w:t>
            </w:r>
            <w:r w:rsidR="002C4CB0" w:rsidRPr="002C4CB0">
              <w:rPr>
                <w:rFonts w:ascii="Times New Roman" w:hAnsi="Times New Roman"/>
                <w:i/>
              </w:rPr>
              <w:t>Malaria Control</w:t>
            </w:r>
            <w:r w:rsidR="002C4CB0">
              <w:rPr>
                <w:rFonts w:ascii="Times New Roman" w:hAnsi="Times New Roman"/>
                <w:i/>
              </w:rPr>
              <w:t xml:space="preserve"> </w:t>
            </w:r>
            <w:r w:rsidR="002041C6" w:rsidRPr="00BE44B1">
              <w:rPr>
                <w:rFonts w:ascii="Times New Roman" w:hAnsi="Times New Roman"/>
                <w:i/>
              </w:rPr>
              <w:t>UNICEF:</w:t>
            </w:r>
            <w:r w:rsidR="00BE44B1" w:rsidRPr="00BE44B1">
              <w:rPr>
                <w:rFonts w:ascii="Times New Roman" w:hAnsi="Times New Roman"/>
                <w:i/>
              </w:rPr>
              <w:t xml:space="preserve"> </w:t>
            </w:r>
          </w:p>
          <w:p w:rsidR="002041C6" w:rsidRPr="00BE44B1" w:rsidRDefault="00D25270" w:rsidP="00D25270">
            <w:pPr>
              <w:pStyle w:val="BodyText"/>
              <w:numPr>
                <w:ilvl w:val="0"/>
                <w:numId w:val="3"/>
              </w:numPr>
              <w:spacing w:before="60" w:after="60"/>
              <w:ind w:left="342"/>
              <w:jc w:val="both"/>
            </w:pPr>
            <w:r w:rsidRPr="00BE44B1">
              <w:rPr>
                <w:rFonts w:ascii="Times New Roman" w:hAnsi="Times New Roman"/>
                <w:i/>
              </w:rPr>
              <w:t>00075573</w:t>
            </w:r>
            <w:r>
              <w:rPr>
                <w:rFonts w:ascii="Times New Roman" w:hAnsi="Times New Roman"/>
                <w:i/>
              </w:rPr>
              <w:t xml:space="preserve"> </w:t>
            </w:r>
            <w:r w:rsidR="002C4CB0" w:rsidRPr="002C4CB0">
              <w:rPr>
                <w:rFonts w:ascii="Times New Roman" w:hAnsi="Times New Roman"/>
                <w:i/>
              </w:rPr>
              <w:t>Technical and oper</w:t>
            </w:r>
            <w:r w:rsidR="002C4CB0">
              <w:rPr>
                <w:rFonts w:ascii="Times New Roman" w:hAnsi="Times New Roman"/>
                <w:i/>
              </w:rPr>
              <w:t xml:space="preserve">ational support </w:t>
            </w:r>
            <w:r>
              <w:rPr>
                <w:rFonts w:ascii="Times New Roman" w:hAnsi="Times New Roman"/>
                <w:i/>
              </w:rPr>
              <w:t>WHO</w:t>
            </w:r>
          </w:p>
        </w:tc>
        <w:tc>
          <w:tcPr>
            <w:tcW w:w="360" w:type="dxa"/>
            <w:vMerge/>
            <w:tcBorders>
              <w:left w:val="single" w:sz="4" w:space="0" w:color="auto"/>
              <w:right w:val="single" w:sz="4" w:space="0" w:color="auto"/>
            </w:tcBorders>
          </w:tcPr>
          <w:p w:rsidR="002041C6" w:rsidRPr="00947685" w:rsidRDefault="002041C6" w:rsidP="000D7614">
            <w:pPr>
              <w:pStyle w:val="BodyText"/>
              <w:rPr>
                <w:rFonts w:ascii="Times New Roman" w:hAnsi="Times New Roman"/>
              </w:rPr>
            </w:pPr>
          </w:p>
        </w:tc>
        <w:tc>
          <w:tcPr>
            <w:tcW w:w="4860" w:type="dxa"/>
            <w:tcBorders>
              <w:left w:val="single" w:sz="4" w:space="0" w:color="auto"/>
              <w:bottom w:val="single" w:sz="4" w:space="0" w:color="auto"/>
              <w:right w:val="single" w:sz="4" w:space="0" w:color="auto"/>
            </w:tcBorders>
          </w:tcPr>
          <w:p w:rsidR="002041C6" w:rsidRDefault="008028C6" w:rsidP="004F3580">
            <w:pPr>
              <w:numPr>
                <w:ilvl w:val="0"/>
                <w:numId w:val="8"/>
              </w:numPr>
              <w:tabs>
                <w:tab w:val="left" w:pos="270"/>
              </w:tabs>
              <w:ind w:left="252" w:hanging="180"/>
              <w:contextualSpacing/>
              <w:rPr>
                <w:rFonts w:cs="Arial"/>
                <w:bCs/>
                <w:iCs/>
                <w:snapToGrid w:val="0"/>
                <w:sz w:val="20"/>
                <w:szCs w:val="28"/>
              </w:rPr>
            </w:pPr>
            <w:r>
              <w:rPr>
                <w:rFonts w:cs="Arial"/>
                <w:bCs/>
                <w:iCs/>
                <w:snapToGrid w:val="0"/>
                <w:sz w:val="20"/>
                <w:szCs w:val="28"/>
              </w:rPr>
              <w:t>Sierra Leone, C</w:t>
            </w:r>
            <w:r w:rsidR="002041C6" w:rsidRPr="0096192F">
              <w:rPr>
                <w:rFonts w:cs="Arial"/>
                <w:bCs/>
                <w:iCs/>
                <w:snapToGrid w:val="0"/>
                <w:sz w:val="20"/>
                <w:szCs w:val="28"/>
              </w:rPr>
              <w:t>ountry wide</w:t>
            </w:r>
          </w:p>
          <w:p w:rsidR="002041C6" w:rsidRPr="0096192F" w:rsidRDefault="002041C6" w:rsidP="004F3580">
            <w:pPr>
              <w:numPr>
                <w:ilvl w:val="0"/>
                <w:numId w:val="8"/>
              </w:numPr>
              <w:tabs>
                <w:tab w:val="left" w:pos="270"/>
              </w:tabs>
              <w:ind w:left="252" w:hanging="180"/>
              <w:contextualSpacing/>
              <w:rPr>
                <w:rFonts w:cs="Arial"/>
                <w:bCs/>
                <w:iCs/>
                <w:snapToGrid w:val="0"/>
                <w:sz w:val="20"/>
                <w:szCs w:val="28"/>
              </w:rPr>
            </w:pPr>
            <w:r w:rsidRPr="0096192F">
              <w:rPr>
                <w:rFonts w:cs="Arial"/>
                <w:bCs/>
                <w:iCs/>
                <w:snapToGrid w:val="0"/>
                <w:sz w:val="20"/>
                <w:szCs w:val="28"/>
              </w:rPr>
              <w:t>Joint Vision Priority Area 4: Equitable and affordable access to health</w:t>
            </w:r>
          </w:p>
        </w:tc>
      </w:tr>
    </w:tbl>
    <w:p w:rsidR="002041C6" w:rsidRDefault="002041C6" w:rsidP="002041C6">
      <w:pPr>
        <w:jc w:val="center"/>
        <w:rPr>
          <w:b/>
          <w:bCs/>
          <w:caps/>
        </w:rPr>
      </w:pPr>
    </w:p>
    <w:tbl>
      <w:tblPr>
        <w:tblW w:w="10260" w:type="dxa"/>
        <w:tblInd w:w="-72" w:type="dxa"/>
        <w:tblLayout w:type="fixed"/>
        <w:tblLook w:val="01E0"/>
      </w:tblPr>
      <w:tblGrid>
        <w:gridCol w:w="5040"/>
        <w:gridCol w:w="360"/>
        <w:gridCol w:w="4860"/>
      </w:tblGrid>
      <w:tr w:rsidR="002041C6" w:rsidRPr="00947685" w:rsidTr="000D7614">
        <w:trPr>
          <w:trHeight w:val="206"/>
        </w:trPr>
        <w:tc>
          <w:tcPr>
            <w:tcW w:w="5040" w:type="dxa"/>
            <w:tcBorders>
              <w:top w:val="single" w:sz="4" w:space="0" w:color="auto"/>
              <w:left w:val="single" w:sz="4" w:space="0" w:color="auto"/>
              <w:right w:val="single" w:sz="4" w:space="0" w:color="auto"/>
            </w:tcBorders>
            <w:shd w:val="clear" w:color="auto" w:fill="F3F3F3"/>
            <w:vAlign w:val="center"/>
          </w:tcPr>
          <w:p w:rsidR="002041C6" w:rsidRPr="00947685" w:rsidRDefault="002041C6" w:rsidP="000D7614">
            <w:pPr>
              <w:pStyle w:val="H1"/>
              <w:jc w:val="center"/>
              <w:rPr>
                <w:rFonts w:cs="Times New Roman"/>
              </w:rPr>
            </w:pPr>
            <w:r w:rsidRPr="00947685">
              <w:rPr>
                <w:rFonts w:cs="Times New Roman"/>
              </w:rPr>
              <w:t>Participating Organi</w:t>
            </w:r>
            <w:r>
              <w:rPr>
                <w:rFonts w:cs="Times New Roman"/>
              </w:rPr>
              <w:t>zation(s)</w:t>
            </w:r>
          </w:p>
        </w:tc>
        <w:tc>
          <w:tcPr>
            <w:tcW w:w="360" w:type="dxa"/>
            <w:vMerge w:val="restart"/>
            <w:tcBorders>
              <w:left w:val="single" w:sz="4" w:space="0" w:color="auto"/>
              <w:right w:val="single" w:sz="4" w:space="0" w:color="auto"/>
            </w:tcBorders>
            <w:vAlign w:val="center"/>
          </w:tcPr>
          <w:p w:rsidR="002041C6" w:rsidRPr="00947685" w:rsidRDefault="002041C6" w:rsidP="000D7614">
            <w:pPr>
              <w:jc w:val="center"/>
            </w:pPr>
          </w:p>
        </w:tc>
        <w:tc>
          <w:tcPr>
            <w:tcW w:w="4860" w:type="dxa"/>
            <w:tcBorders>
              <w:top w:val="single" w:sz="4" w:space="0" w:color="auto"/>
              <w:left w:val="single" w:sz="4" w:space="0" w:color="auto"/>
              <w:right w:val="single" w:sz="4" w:space="0" w:color="auto"/>
            </w:tcBorders>
            <w:shd w:val="clear" w:color="auto" w:fill="F3F3F3"/>
            <w:vAlign w:val="center"/>
          </w:tcPr>
          <w:p w:rsidR="002041C6" w:rsidRPr="00947685" w:rsidRDefault="002041C6" w:rsidP="000D7614">
            <w:pPr>
              <w:pStyle w:val="H1"/>
              <w:jc w:val="center"/>
              <w:rPr>
                <w:rFonts w:cs="Times New Roman"/>
                <w:sz w:val="20"/>
              </w:rPr>
            </w:pPr>
            <w:r>
              <w:rPr>
                <w:rFonts w:cs="Times New Roman"/>
              </w:rPr>
              <w:t>Implementing Partners</w:t>
            </w:r>
          </w:p>
        </w:tc>
      </w:tr>
      <w:tr w:rsidR="002041C6" w:rsidRPr="00947685" w:rsidTr="000D7614">
        <w:trPr>
          <w:trHeight w:val="495"/>
        </w:trPr>
        <w:tc>
          <w:tcPr>
            <w:tcW w:w="5040" w:type="dxa"/>
            <w:tcBorders>
              <w:left w:val="single" w:sz="4" w:space="0" w:color="auto"/>
              <w:bottom w:val="single" w:sz="4" w:space="0" w:color="auto"/>
              <w:right w:val="single" w:sz="4" w:space="0" w:color="auto"/>
            </w:tcBorders>
          </w:tcPr>
          <w:p w:rsidR="00391A97" w:rsidRDefault="002041C6" w:rsidP="000D7614">
            <w:pPr>
              <w:pStyle w:val="BodyText"/>
              <w:rPr>
                <w:rFonts w:ascii="Times New Roman" w:hAnsi="Times New Roman"/>
              </w:rPr>
            </w:pPr>
            <w:r w:rsidRPr="0096192F">
              <w:rPr>
                <w:rFonts w:ascii="Times New Roman" w:hAnsi="Times New Roman"/>
              </w:rPr>
              <w:t>WFP</w:t>
            </w:r>
            <w:r w:rsidR="00391A97">
              <w:rPr>
                <w:rFonts w:ascii="Times New Roman" w:hAnsi="Times New Roman"/>
              </w:rPr>
              <w:t xml:space="preserve"> (World Food Programme) </w:t>
            </w:r>
          </w:p>
          <w:p w:rsidR="002041C6" w:rsidRDefault="002041C6" w:rsidP="000D7614">
            <w:pPr>
              <w:pStyle w:val="BodyText"/>
              <w:rPr>
                <w:rFonts w:ascii="Times New Roman" w:hAnsi="Times New Roman"/>
              </w:rPr>
            </w:pPr>
            <w:r w:rsidRPr="0096192F">
              <w:rPr>
                <w:rFonts w:ascii="Times New Roman" w:hAnsi="Times New Roman"/>
              </w:rPr>
              <w:t>WHO</w:t>
            </w:r>
            <w:r w:rsidR="00391A97">
              <w:rPr>
                <w:rFonts w:ascii="Times New Roman" w:hAnsi="Times New Roman"/>
              </w:rPr>
              <w:t xml:space="preserve"> (World Health Organization)</w:t>
            </w:r>
          </w:p>
          <w:p w:rsidR="00391A97" w:rsidRPr="00391A97" w:rsidRDefault="00391A97" w:rsidP="000D7614">
            <w:pPr>
              <w:pStyle w:val="BodyText"/>
              <w:rPr>
                <w:rFonts w:ascii="Times New Roman" w:hAnsi="Times New Roman"/>
              </w:rPr>
            </w:pPr>
            <w:r>
              <w:rPr>
                <w:rFonts w:ascii="Times New Roman" w:hAnsi="Times New Roman"/>
              </w:rPr>
              <w:t xml:space="preserve">UNICEF (United Nations Children Fund) </w:t>
            </w:r>
          </w:p>
        </w:tc>
        <w:tc>
          <w:tcPr>
            <w:tcW w:w="360" w:type="dxa"/>
            <w:vMerge/>
            <w:tcBorders>
              <w:left w:val="single" w:sz="4" w:space="0" w:color="auto"/>
              <w:right w:val="single" w:sz="4" w:space="0" w:color="auto"/>
            </w:tcBorders>
          </w:tcPr>
          <w:p w:rsidR="002041C6" w:rsidRPr="00947685" w:rsidRDefault="002041C6" w:rsidP="000D7614">
            <w:pPr>
              <w:pStyle w:val="BodyText"/>
              <w:rPr>
                <w:rFonts w:ascii="Times New Roman" w:hAnsi="Times New Roman"/>
              </w:rPr>
            </w:pPr>
          </w:p>
        </w:tc>
        <w:tc>
          <w:tcPr>
            <w:tcW w:w="4860" w:type="dxa"/>
            <w:tcBorders>
              <w:left w:val="single" w:sz="4" w:space="0" w:color="auto"/>
              <w:bottom w:val="single" w:sz="4" w:space="0" w:color="auto"/>
              <w:right w:val="single" w:sz="4" w:space="0" w:color="auto"/>
            </w:tcBorders>
          </w:tcPr>
          <w:p w:rsidR="002041C6" w:rsidRPr="00773C57" w:rsidRDefault="008028C6" w:rsidP="004F3580">
            <w:pPr>
              <w:pStyle w:val="BodyText"/>
              <w:numPr>
                <w:ilvl w:val="0"/>
                <w:numId w:val="4"/>
              </w:numPr>
              <w:spacing w:before="60" w:after="60"/>
              <w:ind w:left="376"/>
              <w:jc w:val="both"/>
              <w:rPr>
                <w:rFonts w:ascii="Times New Roman" w:hAnsi="Times New Roman"/>
                <w:bCs/>
                <w:iCs/>
                <w:snapToGrid w:val="0"/>
                <w:color w:val="000000"/>
                <w:szCs w:val="28"/>
              </w:rPr>
            </w:pPr>
            <w:r>
              <w:rPr>
                <w:rFonts w:ascii="Times New Roman" w:hAnsi="Times New Roman"/>
                <w:bCs/>
                <w:iCs/>
                <w:snapToGrid w:val="0"/>
                <w:szCs w:val="28"/>
              </w:rPr>
              <w:t>Ministry of Health and Sanitation (National Malaria C</w:t>
            </w:r>
            <w:r w:rsidR="002041C6" w:rsidRPr="001D45C3">
              <w:rPr>
                <w:rFonts w:ascii="Times New Roman" w:hAnsi="Times New Roman"/>
                <w:bCs/>
                <w:iCs/>
                <w:snapToGrid w:val="0"/>
                <w:szCs w:val="28"/>
              </w:rPr>
              <w:t>ontrol and Environmental Health programs</w:t>
            </w:r>
            <w:r w:rsidR="002041C6">
              <w:rPr>
                <w:rFonts w:ascii="Times New Roman" w:hAnsi="Times New Roman"/>
                <w:bCs/>
                <w:iCs/>
                <w:snapToGrid w:val="0"/>
                <w:szCs w:val="28"/>
              </w:rPr>
              <w:t xml:space="preserve">, </w:t>
            </w:r>
            <w:r w:rsidR="00D0441A">
              <w:rPr>
                <w:rFonts w:ascii="Times New Roman" w:hAnsi="Times New Roman"/>
                <w:bCs/>
                <w:iCs/>
                <w:snapToGrid w:val="0"/>
                <w:szCs w:val="28"/>
              </w:rPr>
              <w:t>Food and Nutrition Unit and the</w:t>
            </w:r>
            <w:r w:rsidR="002041C6">
              <w:rPr>
                <w:rFonts w:ascii="Times New Roman" w:hAnsi="Times New Roman"/>
                <w:bCs/>
                <w:iCs/>
                <w:snapToGrid w:val="0"/>
                <w:szCs w:val="28"/>
              </w:rPr>
              <w:t xml:space="preserve"> </w:t>
            </w:r>
            <w:r>
              <w:rPr>
                <w:rFonts w:ascii="Times New Roman" w:hAnsi="Times New Roman"/>
                <w:bCs/>
                <w:iCs/>
                <w:snapToGrid w:val="0"/>
                <w:szCs w:val="28"/>
              </w:rPr>
              <w:t>National AIDS Control Programme</w:t>
            </w:r>
            <w:r w:rsidR="002041C6" w:rsidRPr="001D45C3">
              <w:rPr>
                <w:rFonts w:ascii="Times New Roman" w:hAnsi="Times New Roman"/>
                <w:bCs/>
                <w:iCs/>
                <w:snapToGrid w:val="0"/>
                <w:szCs w:val="28"/>
              </w:rPr>
              <w:t>)</w:t>
            </w:r>
            <w:bookmarkStart w:id="0" w:name="_Toc249364478"/>
          </w:p>
          <w:p w:rsidR="002041C6" w:rsidRPr="00773C57" w:rsidRDefault="002041C6" w:rsidP="004F3580">
            <w:pPr>
              <w:pStyle w:val="ListParagraph"/>
              <w:numPr>
                <w:ilvl w:val="0"/>
                <w:numId w:val="10"/>
              </w:numPr>
              <w:rPr>
                <w:rFonts w:cs="Arial"/>
                <w:bCs/>
                <w:iCs/>
                <w:snapToGrid w:val="0"/>
                <w:sz w:val="20"/>
                <w:szCs w:val="28"/>
              </w:rPr>
            </w:pPr>
            <w:r w:rsidRPr="00773C57">
              <w:rPr>
                <w:rFonts w:cs="Arial"/>
                <w:bCs/>
                <w:iCs/>
                <w:snapToGrid w:val="0"/>
                <w:sz w:val="20"/>
                <w:szCs w:val="28"/>
              </w:rPr>
              <w:t>DHMTs,</w:t>
            </w:r>
          </w:p>
          <w:p w:rsidR="002041C6" w:rsidRPr="00773C57" w:rsidRDefault="002041C6" w:rsidP="004F3580">
            <w:pPr>
              <w:pStyle w:val="ListParagraph"/>
              <w:numPr>
                <w:ilvl w:val="0"/>
                <w:numId w:val="10"/>
              </w:numPr>
              <w:rPr>
                <w:rFonts w:cs="Arial"/>
                <w:bCs/>
                <w:iCs/>
                <w:snapToGrid w:val="0"/>
                <w:sz w:val="20"/>
                <w:szCs w:val="28"/>
              </w:rPr>
            </w:pPr>
            <w:r w:rsidRPr="00773C57">
              <w:rPr>
                <w:rFonts w:cs="Arial"/>
                <w:bCs/>
                <w:iCs/>
                <w:snapToGrid w:val="0"/>
                <w:sz w:val="20"/>
                <w:szCs w:val="28"/>
              </w:rPr>
              <w:t>Local councils</w:t>
            </w:r>
          </w:p>
          <w:p w:rsidR="002041C6" w:rsidRDefault="002041C6" w:rsidP="008028C6">
            <w:pPr>
              <w:pStyle w:val="BodyText"/>
              <w:numPr>
                <w:ilvl w:val="0"/>
                <w:numId w:val="4"/>
              </w:numPr>
              <w:spacing w:before="60" w:after="60"/>
              <w:ind w:left="376"/>
              <w:jc w:val="both"/>
              <w:rPr>
                <w:rFonts w:ascii="Times New Roman" w:hAnsi="Times New Roman"/>
                <w:bCs/>
                <w:iCs/>
                <w:snapToGrid w:val="0"/>
                <w:szCs w:val="28"/>
              </w:rPr>
            </w:pPr>
            <w:r w:rsidRPr="00773C57">
              <w:rPr>
                <w:rFonts w:ascii="Times New Roman" w:hAnsi="Times New Roman"/>
                <w:bCs/>
                <w:iCs/>
                <w:snapToGrid w:val="0"/>
                <w:szCs w:val="28"/>
              </w:rPr>
              <w:t>IFRC</w:t>
            </w:r>
            <w:bookmarkEnd w:id="0"/>
          </w:p>
          <w:p w:rsidR="00D0441A" w:rsidRPr="008028C6" w:rsidRDefault="00D0441A" w:rsidP="008028C6">
            <w:pPr>
              <w:pStyle w:val="BodyText"/>
              <w:numPr>
                <w:ilvl w:val="0"/>
                <w:numId w:val="4"/>
              </w:numPr>
              <w:spacing w:before="60" w:after="60"/>
              <w:ind w:left="376"/>
              <w:jc w:val="both"/>
              <w:rPr>
                <w:rFonts w:ascii="Times New Roman" w:hAnsi="Times New Roman"/>
                <w:bCs/>
                <w:iCs/>
                <w:snapToGrid w:val="0"/>
                <w:szCs w:val="28"/>
              </w:rPr>
            </w:pPr>
            <w:r>
              <w:rPr>
                <w:rFonts w:ascii="Times New Roman" w:hAnsi="Times New Roman"/>
                <w:bCs/>
                <w:iCs/>
                <w:snapToGrid w:val="0"/>
                <w:szCs w:val="28"/>
              </w:rPr>
              <w:t xml:space="preserve">Network of HIV Positives in Sierra Leone </w:t>
            </w:r>
          </w:p>
        </w:tc>
      </w:tr>
    </w:tbl>
    <w:p w:rsidR="002041C6" w:rsidRDefault="002041C6" w:rsidP="002041C6">
      <w:pPr>
        <w:jc w:val="center"/>
        <w:rPr>
          <w:b/>
          <w:bCs/>
          <w:caps/>
        </w:rPr>
      </w:pPr>
    </w:p>
    <w:tbl>
      <w:tblPr>
        <w:tblW w:w="1027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0"/>
        <w:gridCol w:w="2070"/>
        <w:gridCol w:w="360"/>
        <w:gridCol w:w="2071"/>
        <w:gridCol w:w="2800"/>
      </w:tblGrid>
      <w:tr w:rsidR="002041C6" w:rsidRPr="00F75023" w:rsidTr="000D7614">
        <w:trPr>
          <w:trHeight w:val="440"/>
        </w:trPr>
        <w:tc>
          <w:tcPr>
            <w:tcW w:w="5040" w:type="dxa"/>
            <w:gridSpan w:val="2"/>
            <w:tcBorders>
              <w:top w:val="single" w:sz="4" w:space="0" w:color="auto"/>
              <w:left w:val="single" w:sz="4" w:space="0" w:color="auto"/>
              <w:bottom w:val="nil"/>
              <w:right w:val="single" w:sz="4" w:space="0" w:color="auto"/>
            </w:tcBorders>
            <w:shd w:val="clear" w:color="auto" w:fill="F2F2F2"/>
            <w:vAlign w:val="center"/>
          </w:tcPr>
          <w:p w:rsidR="002041C6" w:rsidRPr="00F75023" w:rsidRDefault="002041C6" w:rsidP="000D7614">
            <w:pPr>
              <w:pStyle w:val="H1"/>
              <w:jc w:val="center"/>
              <w:rPr>
                <w:rFonts w:cs="Times New Roman"/>
              </w:rPr>
            </w:pPr>
            <w:r w:rsidRPr="00F75023">
              <w:rPr>
                <w:rFonts w:cs="Times New Roman"/>
              </w:rPr>
              <w:t xml:space="preserve">Programme/Project </w:t>
            </w:r>
            <w:r>
              <w:rPr>
                <w:rFonts w:cs="Times New Roman"/>
              </w:rPr>
              <w:t>Cost (US$)</w:t>
            </w:r>
          </w:p>
        </w:tc>
        <w:tc>
          <w:tcPr>
            <w:tcW w:w="360" w:type="dxa"/>
            <w:tcBorders>
              <w:top w:val="nil"/>
              <w:left w:val="single" w:sz="4" w:space="0" w:color="auto"/>
              <w:bottom w:val="nil"/>
              <w:right w:val="single" w:sz="4" w:space="0" w:color="auto"/>
            </w:tcBorders>
            <w:shd w:val="clear" w:color="auto" w:fill="auto"/>
            <w:vAlign w:val="center"/>
          </w:tcPr>
          <w:p w:rsidR="002041C6" w:rsidRPr="00F75023" w:rsidRDefault="002041C6" w:rsidP="000D7614">
            <w:pPr>
              <w:pStyle w:val="H1"/>
              <w:jc w:val="center"/>
              <w:rPr>
                <w:rFonts w:cs="Times New Roman"/>
              </w:rPr>
            </w:pPr>
          </w:p>
        </w:tc>
        <w:tc>
          <w:tcPr>
            <w:tcW w:w="4871" w:type="dxa"/>
            <w:gridSpan w:val="2"/>
            <w:tcBorders>
              <w:top w:val="single" w:sz="4" w:space="0" w:color="auto"/>
              <w:left w:val="single" w:sz="4" w:space="0" w:color="auto"/>
              <w:bottom w:val="nil"/>
              <w:right w:val="single" w:sz="4" w:space="0" w:color="auto"/>
            </w:tcBorders>
            <w:shd w:val="clear" w:color="auto" w:fill="F2F2F2"/>
            <w:vAlign w:val="center"/>
          </w:tcPr>
          <w:p w:rsidR="002041C6" w:rsidRPr="00F75023" w:rsidRDefault="002041C6" w:rsidP="000D7614">
            <w:pPr>
              <w:pStyle w:val="H1"/>
              <w:jc w:val="center"/>
              <w:rPr>
                <w:rFonts w:cs="Times New Roman"/>
              </w:rPr>
            </w:pPr>
            <w:r>
              <w:rPr>
                <w:rFonts w:cs="Times New Roman"/>
              </w:rPr>
              <w:t>Programme Duration (months)</w:t>
            </w:r>
          </w:p>
        </w:tc>
      </w:tr>
      <w:tr w:rsidR="002041C6" w:rsidRPr="00F75023" w:rsidTr="000D7614">
        <w:trPr>
          <w:trHeight w:val="215"/>
        </w:trPr>
        <w:tc>
          <w:tcPr>
            <w:tcW w:w="2970" w:type="dxa"/>
            <w:tcBorders>
              <w:top w:val="nil"/>
              <w:left w:val="single" w:sz="4" w:space="0" w:color="auto"/>
              <w:bottom w:val="nil"/>
              <w:right w:val="nil"/>
            </w:tcBorders>
            <w:shd w:val="clear" w:color="auto" w:fill="auto"/>
            <w:vAlign w:val="center"/>
          </w:tcPr>
          <w:p w:rsidR="002041C6" w:rsidRPr="008062C3" w:rsidRDefault="002041C6" w:rsidP="000D7614">
            <w:pPr>
              <w:pStyle w:val="H2"/>
              <w:spacing w:before="120"/>
              <w:rPr>
                <w:rFonts w:cs="Times New Roman"/>
                <w:b w:val="0"/>
              </w:rPr>
            </w:pPr>
            <w:r w:rsidRPr="008062C3">
              <w:rPr>
                <w:rFonts w:cs="Times New Roman"/>
                <w:b w:val="0"/>
              </w:rPr>
              <w:t xml:space="preserve">MDTF Fund Contribution:  </w:t>
            </w:r>
          </w:p>
          <w:p w:rsidR="002041C6" w:rsidRPr="0096192F" w:rsidRDefault="002041C6" w:rsidP="004F3580">
            <w:pPr>
              <w:pStyle w:val="H2"/>
              <w:numPr>
                <w:ilvl w:val="0"/>
                <w:numId w:val="6"/>
              </w:numPr>
              <w:spacing w:after="120"/>
              <w:ind w:left="162" w:hanging="180"/>
              <w:rPr>
                <w:rFonts w:cs="Times New Roman"/>
                <w:b w:val="0"/>
                <w:color w:val="000000"/>
                <w:sz w:val="20"/>
                <w:szCs w:val="20"/>
              </w:rPr>
            </w:pPr>
            <w:r w:rsidRPr="0096192F">
              <w:rPr>
                <w:rFonts w:cs="Times New Roman"/>
                <w:b w:val="0"/>
                <w:sz w:val="20"/>
                <w:szCs w:val="20"/>
              </w:rPr>
              <w:t xml:space="preserve">WFP </w:t>
            </w:r>
            <w:r w:rsidRPr="0096192F">
              <w:rPr>
                <w:rFonts w:cs="Times New Roman"/>
                <w:b w:val="0"/>
                <w:color w:val="000000"/>
                <w:sz w:val="20"/>
                <w:szCs w:val="20"/>
              </w:rPr>
              <w:t>$652,246</w:t>
            </w:r>
          </w:p>
          <w:p w:rsidR="002041C6" w:rsidRPr="0096192F" w:rsidRDefault="002041C6" w:rsidP="004F3580">
            <w:pPr>
              <w:pStyle w:val="H2"/>
              <w:numPr>
                <w:ilvl w:val="0"/>
                <w:numId w:val="6"/>
              </w:numPr>
              <w:spacing w:after="120"/>
              <w:ind w:left="162" w:hanging="180"/>
              <w:rPr>
                <w:rFonts w:cs="Times New Roman"/>
                <w:b w:val="0"/>
                <w:color w:val="000000"/>
                <w:sz w:val="20"/>
                <w:szCs w:val="20"/>
              </w:rPr>
            </w:pPr>
            <w:r w:rsidRPr="0096192F">
              <w:rPr>
                <w:rFonts w:cs="Times New Roman"/>
                <w:b w:val="0"/>
                <w:sz w:val="20"/>
                <w:szCs w:val="20"/>
              </w:rPr>
              <w:t xml:space="preserve">UNICEF </w:t>
            </w:r>
            <w:r w:rsidRPr="0096192F">
              <w:rPr>
                <w:rFonts w:cs="Times New Roman"/>
                <w:b w:val="0"/>
                <w:color w:val="000000"/>
                <w:sz w:val="20"/>
                <w:szCs w:val="20"/>
              </w:rPr>
              <w:t>$431,442</w:t>
            </w:r>
          </w:p>
          <w:p w:rsidR="002041C6" w:rsidRPr="008062C3" w:rsidRDefault="002041C6" w:rsidP="004F3580">
            <w:pPr>
              <w:pStyle w:val="H2"/>
              <w:numPr>
                <w:ilvl w:val="0"/>
                <w:numId w:val="6"/>
              </w:numPr>
              <w:spacing w:after="120"/>
              <w:ind w:left="162" w:hanging="180"/>
              <w:rPr>
                <w:rFonts w:cs="Times New Roman"/>
                <w:i/>
                <w:sz w:val="18"/>
                <w:szCs w:val="18"/>
              </w:rPr>
            </w:pPr>
            <w:r w:rsidRPr="0096192F">
              <w:rPr>
                <w:rFonts w:cs="Times New Roman"/>
                <w:b w:val="0"/>
                <w:sz w:val="20"/>
                <w:szCs w:val="20"/>
              </w:rPr>
              <w:t xml:space="preserve">WHO </w:t>
            </w:r>
            <w:r w:rsidRPr="0096192F">
              <w:rPr>
                <w:rFonts w:cs="Times New Roman"/>
                <w:b w:val="0"/>
                <w:color w:val="000000"/>
                <w:sz w:val="20"/>
                <w:szCs w:val="20"/>
              </w:rPr>
              <w:t>$841,664</w:t>
            </w:r>
          </w:p>
        </w:tc>
        <w:tc>
          <w:tcPr>
            <w:tcW w:w="2070" w:type="dxa"/>
            <w:tcBorders>
              <w:top w:val="nil"/>
              <w:left w:val="nil"/>
              <w:bottom w:val="nil"/>
              <w:right w:val="single" w:sz="4" w:space="0" w:color="auto"/>
            </w:tcBorders>
            <w:shd w:val="clear" w:color="auto" w:fill="auto"/>
          </w:tcPr>
          <w:p w:rsidR="002041C6" w:rsidRPr="00833157" w:rsidRDefault="002041C6" w:rsidP="000D7614">
            <w:pPr>
              <w:pStyle w:val="BodyText"/>
              <w:spacing w:before="120" w:after="120"/>
              <w:rPr>
                <w:rFonts w:ascii="Times New Roman" w:hAnsi="Times New Roman"/>
                <w:color w:val="000000"/>
              </w:rPr>
            </w:pPr>
          </w:p>
        </w:tc>
        <w:tc>
          <w:tcPr>
            <w:tcW w:w="360" w:type="dxa"/>
            <w:tcBorders>
              <w:top w:val="nil"/>
              <w:left w:val="single" w:sz="4" w:space="0" w:color="auto"/>
              <w:bottom w:val="nil"/>
              <w:right w:val="single" w:sz="4" w:space="0" w:color="auto"/>
            </w:tcBorders>
            <w:shd w:val="clear" w:color="auto" w:fill="auto"/>
          </w:tcPr>
          <w:p w:rsidR="002041C6" w:rsidRPr="00F75023" w:rsidRDefault="002041C6" w:rsidP="000D7614">
            <w:pPr>
              <w:pStyle w:val="BodyText"/>
              <w:spacing w:before="120" w:after="120"/>
              <w:rPr>
                <w:rFonts w:ascii="Times New Roman" w:hAnsi="Times New Roman"/>
              </w:rPr>
            </w:pPr>
          </w:p>
        </w:tc>
        <w:tc>
          <w:tcPr>
            <w:tcW w:w="2071" w:type="dxa"/>
            <w:tcBorders>
              <w:top w:val="nil"/>
              <w:left w:val="single" w:sz="4" w:space="0" w:color="auto"/>
              <w:bottom w:val="nil"/>
              <w:right w:val="nil"/>
            </w:tcBorders>
            <w:shd w:val="clear" w:color="auto" w:fill="auto"/>
            <w:vAlign w:val="center"/>
          </w:tcPr>
          <w:p w:rsidR="00EB6BFA" w:rsidRDefault="00EB6BFA" w:rsidP="000D7614">
            <w:pPr>
              <w:pStyle w:val="BodyText"/>
              <w:rPr>
                <w:rFonts w:ascii="Times New Roman" w:hAnsi="Times New Roman"/>
              </w:rPr>
            </w:pPr>
          </w:p>
          <w:p w:rsidR="002041C6" w:rsidRDefault="002041C6" w:rsidP="000D7614">
            <w:pPr>
              <w:pStyle w:val="BodyText"/>
              <w:rPr>
                <w:rFonts w:ascii="Times New Roman" w:hAnsi="Times New Roman"/>
              </w:rPr>
            </w:pPr>
            <w:r w:rsidRPr="00BC4FF0">
              <w:rPr>
                <w:rFonts w:ascii="Times New Roman" w:hAnsi="Times New Roman"/>
              </w:rPr>
              <w:t>Overall Duration</w:t>
            </w:r>
          </w:p>
          <w:p w:rsidR="002041C6" w:rsidRDefault="002041C6" w:rsidP="000D7614">
            <w:pPr>
              <w:pStyle w:val="BodyText"/>
              <w:rPr>
                <w:rFonts w:ascii="Times New Roman" w:hAnsi="Times New Roman"/>
              </w:rPr>
            </w:pPr>
          </w:p>
          <w:p w:rsidR="002041C6" w:rsidRPr="00423A4D" w:rsidRDefault="002041C6" w:rsidP="000D7614">
            <w:pPr>
              <w:pStyle w:val="BodyText"/>
              <w:rPr>
                <w:rFonts w:ascii="Times New Roman" w:hAnsi="Times New Roman"/>
              </w:rPr>
            </w:pPr>
          </w:p>
        </w:tc>
        <w:tc>
          <w:tcPr>
            <w:tcW w:w="2800" w:type="dxa"/>
            <w:tcBorders>
              <w:top w:val="nil"/>
              <w:left w:val="nil"/>
              <w:bottom w:val="nil"/>
              <w:right w:val="single" w:sz="4" w:space="0" w:color="auto"/>
            </w:tcBorders>
            <w:shd w:val="clear" w:color="auto" w:fill="auto"/>
          </w:tcPr>
          <w:p w:rsidR="002041C6" w:rsidRDefault="002041C6" w:rsidP="000D7614">
            <w:pPr>
              <w:pStyle w:val="BodyText"/>
              <w:widowControl w:val="0"/>
              <w:spacing w:before="120" w:after="120"/>
              <w:rPr>
                <w:rFonts w:ascii="Times New Roman" w:hAnsi="Times New Roman"/>
              </w:rPr>
            </w:pPr>
          </w:p>
          <w:p w:rsidR="002041C6" w:rsidRDefault="00EB6BFA" w:rsidP="000D7614">
            <w:pPr>
              <w:pStyle w:val="BodyText"/>
              <w:widowControl w:val="0"/>
              <w:spacing w:before="120" w:after="120"/>
              <w:rPr>
                <w:rFonts w:ascii="Times New Roman" w:hAnsi="Times New Roman"/>
              </w:rPr>
            </w:pPr>
            <w:r>
              <w:rPr>
                <w:rFonts w:ascii="Times New Roman" w:hAnsi="Times New Roman"/>
              </w:rPr>
              <w:t>31 December 2012</w:t>
            </w:r>
          </w:p>
          <w:p w:rsidR="00EB6BFA" w:rsidRPr="00F75023" w:rsidRDefault="00EB6BFA" w:rsidP="000D7614">
            <w:pPr>
              <w:pStyle w:val="BodyText"/>
              <w:widowControl w:val="0"/>
              <w:spacing w:before="120" w:after="120"/>
              <w:rPr>
                <w:rFonts w:ascii="Times New Roman" w:hAnsi="Times New Roman"/>
              </w:rPr>
            </w:pPr>
          </w:p>
        </w:tc>
      </w:tr>
      <w:tr w:rsidR="002041C6" w:rsidRPr="00F75023" w:rsidTr="000D7614">
        <w:trPr>
          <w:trHeight w:val="350"/>
        </w:trPr>
        <w:tc>
          <w:tcPr>
            <w:tcW w:w="2970" w:type="dxa"/>
            <w:tcBorders>
              <w:top w:val="nil"/>
              <w:left w:val="single" w:sz="4" w:space="0" w:color="auto"/>
              <w:bottom w:val="nil"/>
              <w:right w:val="nil"/>
            </w:tcBorders>
            <w:shd w:val="clear" w:color="auto" w:fill="auto"/>
            <w:vAlign w:val="center"/>
          </w:tcPr>
          <w:p w:rsidR="002041C6" w:rsidRPr="00391A97" w:rsidRDefault="002041C6" w:rsidP="000D7614">
            <w:pPr>
              <w:pStyle w:val="H2"/>
              <w:spacing w:before="120"/>
              <w:rPr>
                <w:rFonts w:cs="Times New Roman"/>
                <w:b w:val="0"/>
              </w:rPr>
            </w:pPr>
            <w:r w:rsidRPr="00391A97">
              <w:rPr>
                <w:rFonts w:cs="Times New Roman"/>
                <w:b w:val="0"/>
              </w:rPr>
              <w:t>Agency Contribution</w:t>
            </w:r>
          </w:p>
          <w:p w:rsidR="002041C6" w:rsidRPr="00391A97" w:rsidRDefault="002041C6" w:rsidP="004F3580">
            <w:pPr>
              <w:pStyle w:val="H2"/>
              <w:numPr>
                <w:ilvl w:val="0"/>
                <w:numId w:val="5"/>
              </w:numPr>
              <w:spacing w:after="120"/>
              <w:ind w:left="162" w:hanging="162"/>
              <w:rPr>
                <w:rFonts w:cs="Times New Roman"/>
              </w:rPr>
            </w:pPr>
            <w:r w:rsidRPr="00391A97">
              <w:rPr>
                <w:rFonts w:cs="Times New Roman"/>
                <w:b w:val="0"/>
                <w:i/>
                <w:sz w:val="18"/>
                <w:szCs w:val="18"/>
              </w:rPr>
              <w:t>by Agency (if applicable)</w:t>
            </w:r>
          </w:p>
        </w:tc>
        <w:tc>
          <w:tcPr>
            <w:tcW w:w="2070" w:type="dxa"/>
            <w:tcBorders>
              <w:top w:val="nil"/>
              <w:left w:val="nil"/>
              <w:bottom w:val="nil"/>
              <w:right w:val="single" w:sz="4" w:space="0" w:color="auto"/>
            </w:tcBorders>
            <w:shd w:val="clear" w:color="auto" w:fill="auto"/>
          </w:tcPr>
          <w:p w:rsidR="002041C6" w:rsidRPr="00833157" w:rsidRDefault="002041C6" w:rsidP="000D7614">
            <w:pPr>
              <w:pStyle w:val="BodyText"/>
              <w:spacing w:before="120" w:after="120"/>
              <w:rPr>
                <w:rFonts w:ascii="Times New Roman" w:hAnsi="Times New Roman"/>
                <w:color w:val="000000"/>
              </w:rPr>
            </w:pPr>
          </w:p>
        </w:tc>
        <w:tc>
          <w:tcPr>
            <w:tcW w:w="360" w:type="dxa"/>
            <w:tcBorders>
              <w:top w:val="nil"/>
              <w:left w:val="single" w:sz="4" w:space="0" w:color="auto"/>
              <w:bottom w:val="nil"/>
              <w:right w:val="single" w:sz="4" w:space="0" w:color="auto"/>
            </w:tcBorders>
            <w:shd w:val="clear" w:color="auto" w:fill="auto"/>
          </w:tcPr>
          <w:p w:rsidR="002041C6" w:rsidRPr="00F75023" w:rsidRDefault="002041C6" w:rsidP="000D7614">
            <w:pPr>
              <w:pStyle w:val="BodyText"/>
              <w:spacing w:before="120" w:after="120"/>
              <w:rPr>
                <w:rFonts w:ascii="Times New Roman" w:hAnsi="Times New Roman"/>
              </w:rPr>
            </w:pPr>
          </w:p>
        </w:tc>
        <w:tc>
          <w:tcPr>
            <w:tcW w:w="2071" w:type="dxa"/>
            <w:tcBorders>
              <w:top w:val="nil"/>
              <w:left w:val="single" w:sz="4" w:space="0" w:color="auto"/>
              <w:bottom w:val="nil"/>
              <w:right w:val="nil"/>
            </w:tcBorders>
            <w:shd w:val="clear" w:color="auto" w:fill="auto"/>
            <w:vAlign w:val="center"/>
          </w:tcPr>
          <w:p w:rsidR="002041C6" w:rsidRDefault="002041C6" w:rsidP="000D7614">
            <w:pPr>
              <w:pStyle w:val="BodyText"/>
              <w:rPr>
                <w:rFonts w:ascii="Times New Roman" w:hAnsi="Times New Roman"/>
              </w:rPr>
            </w:pPr>
            <w:r w:rsidRPr="00BC4FF0">
              <w:rPr>
                <w:rFonts w:ascii="Times New Roman" w:hAnsi="Times New Roman"/>
              </w:rPr>
              <w:t>Start Date</w:t>
            </w:r>
            <w:r w:rsidR="00EB6BFA">
              <w:rPr>
                <w:rFonts w:ascii="Times New Roman" w:hAnsi="Times New Roman"/>
              </w:rPr>
              <w:t xml:space="preserve"> of Projects</w:t>
            </w:r>
          </w:p>
          <w:p w:rsidR="002041C6" w:rsidRPr="00423A4D" w:rsidRDefault="002041C6" w:rsidP="000D7614">
            <w:pPr>
              <w:pStyle w:val="BodyText"/>
              <w:rPr>
                <w:rFonts w:ascii="Times New Roman" w:hAnsi="Times New Roman"/>
              </w:rPr>
            </w:pPr>
          </w:p>
        </w:tc>
        <w:tc>
          <w:tcPr>
            <w:tcW w:w="2800" w:type="dxa"/>
            <w:tcBorders>
              <w:top w:val="nil"/>
              <w:left w:val="nil"/>
              <w:bottom w:val="nil"/>
              <w:right w:val="single" w:sz="4" w:space="0" w:color="auto"/>
            </w:tcBorders>
            <w:shd w:val="clear" w:color="auto" w:fill="auto"/>
          </w:tcPr>
          <w:p w:rsidR="002041C6" w:rsidRPr="00F75023" w:rsidRDefault="002041C6" w:rsidP="000D7614">
            <w:pPr>
              <w:pStyle w:val="BodyText"/>
              <w:spacing w:before="120" w:after="120"/>
              <w:rPr>
                <w:rFonts w:ascii="Times New Roman" w:hAnsi="Times New Roman"/>
              </w:rPr>
            </w:pPr>
            <w:r>
              <w:rPr>
                <w:rFonts w:ascii="Times New Roman" w:hAnsi="Times New Roman"/>
              </w:rPr>
              <w:t>24 June 2010</w:t>
            </w:r>
          </w:p>
        </w:tc>
      </w:tr>
      <w:tr w:rsidR="002041C6" w:rsidRPr="00F75023" w:rsidTr="000D7614">
        <w:trPr>
          <w:trHeight w:val="350"/>
        </w:trPr>
        <w:tc>
          <w:tcPr>
            <w:tcW w:w="2970" w:type="dxa"/>
            <w:tcBorders>
              <w:top w:val="nil"/>
              <w:left w:val="single" w:sz="4" w:space="0" w:color="auto"/>
              <w:bottom w:val="nil"/>
              <w:right w:val="nil"/>
            </w:tcBorders>
            <w:shd w:val="clear" w:color="auto" w:fill="D9D9D9"/>
            <w:vAlign w:val="center"/>
          </w:tcPr>
          <w:p w:rsidR="002041C6" w:rsidRPr="00391A97" w:rsidRDefault="002041C6" w:rsidP="000D7614">
            <w:pPr>
              <w:pStyle w:val="H2"/>
              <w:rPr>
                <w:rFonts w:cs="Times New Roman"/>
                <w:b w:val="0"/>
              </w:rPr>
            </w:pPr>
            <w:r w:rsidRPr="00391A97">
              <w:rPr>
                <w:rFonts w:cs="Times New Roman"/>
                <w:b w:val="0"/>
              </w:rPr>
              <w:t>Government Contribution</w:t>
            </w:r>
          </w:p>
          <w:p w:rsidR="002041C6" w:rsidRPr="00391A97" w:rsidRDefault="002041C6" w:rsidP="000D7614">
            <w:pPr>
              <w:pStyle w:val="H2"/>
              <w:rPr>
                <w:rFonts w:cs="Times New Roman"/>
              </w:rPr>
            </w:pPr>
            <w:r w:rsidRPr="00391A97">
              <w:rPr>
                <w:rFonts w:cs="Times New Roman"/>
                <w:b w:val="0"/>
                <w:i/>
                <w:sz w:val="18"/>
                <w:szCs w:val="18"/>
              </w:rPr>
              <w:t>(if applicable)</w:t>
            </w:r>
          </w:p>
        </w:tc>
        <w:tc>
          <w:tcPr>
            <w:tcW w:w="2070" w:type="dxa"/>
            <w:tcBorders>
              <w:top w:val="nil"/>
              <w:left w:val="nil"/>
              <w:bottom w:val="nil"/>
              <w:right w:val="single" w:sz="4" w:space="0" w:color="auto"/>
            </w:tcBorders>
            <w:shd w:val="clear" w:color="auto" w:fill="D9D9D9"/>
          </w:tcPr>
          <w:p w:rsidR="002041C6" w:rsidRPr="00833157" w:rsidRDefault="002041C6" w:rsidP="000D7614">
            <w:pPr>
              <w:pStyle w:val="BodyText"/>
              <w:rPr>
                <w:rFonts w:ascii="Times New Roman" w:hAnsi="Times New Roman"/>
                <w:color w:val="000000"/>
              </w:rPr>
            </w:pPr>
          </w:p>
        </w:tc>
        <w:tc>
          <w:tcPr>
            <w:tcW w:w="360" w:type="dxa"/>
            <w:tcBorders>
              <w:top w:val="nil"/>
              <w:left w:val="single" w:sz="4" w:space="0" w:color="auto"/>
              <w:bottom w:val="nil"/>
              <w:right w:val="single" w:sz="4" w:space="0" w:color="auto"/>
            </w:tcBorders>
            <w:shd w:val="clear" w:color="auto" w:fill="auto"/>
          </w:tcPr>
          <w:p w:rsidR="002041C6" w:rsidRPr="00F75023" w:rsidRDefault="002041C6" w:rsidP="000D7614">
            <w:pPr>
              <w:pStyle w:val="BodyText"/>
              <w:rPr>
                <w:rFonts w:ascii="Times New Roman" w:hAnsi="Times New Roman"/>
              </w:rPr>
            </w:pPr>
          </w:p>
        </w:tc>
        <w:tc>
          <w:tcPr>
            <w:tcW w:w="2071" w:type="dxa"/>
            <w:tcBorders>
              <w:top w:val="nil"/>
              <w:left w:val="single" w:sz="4" w:space="0" w:color="auto"/>
              <w:bottom w:val="nil"/>
              <w:right w:val="nil"/>
            </w:tcBorders>
            <w:shd w:val="clear" w:color="auto" w:fill="auto"/>
            <w:vAlign w:val="center"/>
          </w:tcPr>
          <w:p w:rsidR="002041C6" w:rsidRDefault="002041C6" w:rsidP="000D7614">
            <w:pPr>
              <w:pStyle w:val="BodyText"/>
              <w:rPr>
                <w:rFonts w:ascii="Times New Roman" w:hAnsi="Times New Roman"/>
              </w:rPr>
            </w:pPr>
            <w:r w:rsidRPr="00BC4FF0">
              <w:rPr>
                <w:rFonts w:ascii="Times New Roman" w:hAnsi="Times New Roman"/>
              </w:rPr>
              <w:t>Revised End Date</w:t>
            </w:r>
            <w:r w:rsidR="00EB6BFA">
              <w:rPr>
                <w:rFonts w:ascii="Times New Roman" w:hAnsi="Times New Roman"/>
              </w:rPr>
              <w:t xml:space="preserve"> of Projects</w:t>
            </w:r>
            <w:r w:rsidRPr="00BC4FF0">
              <w:rPr>
                <w:rFonts w:ascii="Times New Roman" w:hAnsi="Times New Roman"/>
              </w:rPr>
              <w:t xml:space="preserve"> </w:t>
            </w:r>
          </w:p>
          <w:p w:rsidR="002041C6" w:rsidRPr="00BC4FF0" w:rsidRDefault="002041C6" w:rsidP="000D7614">
            <w:pPr>
              <w:pStyle w:val="BodyText"/>
              <w:rPr>
                <w:rFonts w:ascii="Times New Roman" w:hAnsi="Times New Roman"/>
              </w:rPr>
            </w:pPr>
          </w:p>
        </w:tc>
        <w:tc>
          <w:tcPr>
            <w:tcW w:w="2800" w:type="dxa"/>
            <w:tcBorders>
              <w:top w:val="nil"/>
              <w:left w:val="nil"/>
              <w:bottom w:val="nil"/>
              <w:right w:val="single" w:sz="4" w:space="0" w:color="auto"/>
            </w:tcBorders>
            <w:shd w:val="clear" w:color="auto" w:fill="auto"/>
          </w:tcPr>
          <w:p w:rsidR="002041C6" w:rsidRPr="00F75023" w:rsidRDefault="002041C6" w:rsidP="000D7614">
            <w:pPr>
              <w:pStyle w:val="BodyText"/>
              <w:rPr>
                <w:rFonts w:ascii="Times New Roman" w:hAnsi="Times New Roman"/>
              </w:rPr>
            </w:pPr>
            <w:r>
              <w:rPr>
                <w:rFonts w:ascii="Times New Roman" w:hAnsi="Times New Roman"/>
              </w:rPr>
              <w:t>31 March 2011</w:t>
            </w:r>
          </w:p>
        </w:tc>
      </w:tr>
      <w:tr w:rsidR="002041C6" w:rsidRPr="00F75023" w:rsidTr="000D7614">
        <w:trPr>
          <w:trHeight w:val="350"/>
        </w:trPr>
        <w:tc>
          <w:tcPr>
            <w:tcW w:w="2970" w:type="dxa"/>
            <w:tcBorders>
              <w:top w:val="nil"/>
              <w:left w:val="single" w:sz="4" w:space="0" w:color="auto"/>
              <w:bottom w:val="nil"/>
              <w:right w:val="nil"/>
            </w:tcBorders>
            <w:shd w:val="clear" w:color="auto" w:fill="D9D9D9"/>
            <w:vAlign w:val="center"/>
          </w:tcPr>
          <w:p w:rsidR="002041C6" w:rsidRPr="00391A97" w:rsidRDefault="002041C6" w:rsidP="000D7614">
            <w:pPr>
              <w:pStyle w:val="H2"/>
              <w:rPr>
                <w:rFonts w:cs="Times New Roman"/>
                <w:b w:val="0"/>
              </w:rPr>
            </w:pPr>
            <w:r w:rsidRPr="00391A97">
              <w:rPr>
                <w:rFonts w:cs="Times New Roman"/>
                <w:b w:val="0"/>
              </w:rPr>
              <w:t>Other Contribution (donor)</w:t>
            </w:r>
          </w:p>
          <w:p w:rsidR="002041C6" w:rsidRPr="00391A97" w:rsidRDefault="002041C6" w:rsidP="000D7614">
            <w:pPr>
              <w:pStyle w:val="H2"/>
              <w:rPr>
                <w:rFonts w:cs="Times New Roman"/>
              </w:rPr>
            </w:pPr>
            <w:r w:rsidRPr="00391A97">
              <w:rPr>
                <w:rFonts w:cs="Times New Roman"/>
                <w:b w:val="0"/>
                <w:i/>
                <w:sz w:val="18"/>
                <w:szCs w:val="18"/>
              </w:rPr>
              <w:t>(if applicable)</w:t>
            </w:r>
          </w:p>
        </w:tc>
        <w:tc>
          <w:tcPr>
            <w:tcW w:w="2070" w:type="dxa"/>
            <w:tcBorders>
              <w:top w:val="nil"/>
              <w:left w:val="nil"/>
              <w:bottom w:val="nil"/>
              <w:right w:val="single" w:sz="4" w:space="0" w:color="auto"/>
            </w:tcBorders>
            <w:shd w:val="clear" w:color="auto" w:fill="D9D9D9"/>
          </w:tcPr>
          <w:p w:rsidR="002041C6" w:rsidRPr="00833157" w:rsidRDefault="002041C6" w:rsidP="000D7614">
            <w:pPr>
              <w:pStyle w:val="BodyText"/>
              <w:rPr>
                <w:rFonts w:ascii="Times New Roman" w:hAnsi="Times New Roman"/>
                <w:color w:val="000000"/>
              </w:rPr>
            </w:pPr>
          </w:p>
        </w:tc>
        <w:tc>
          <w:tcPr>
            <w:tcW w:w="360" w:type="dxa"/>
            <w:tcBorders>
              <w:top w:val="nil"/>
              <w:left w:val="single" w:sz="4" w:space="0" w:color="auto"/>
              <w:bottom w:val="nil"/>
              <w:right w:val="single" w:sz="4" w:space="0" w:color="auto"/>
            </w:tcBorders>
            <w:shd w:val="clear" w:color="auto" w:fill="auto"/>
          </w:tcPr>
          <w:p w:rsidR="002041C6" w:rsidRPr="00F75023" w:rsidRDefault="002041C6" w:rsidP="000D7614">
            <w:pPr>
              <w:pStyle w:val="BodyText"/>
              <w:rPr>
                <w:rFonts w:ascii="Times New Roman" w:hAnsi="Times New Roman"/>
              </w:rPr>
            </w:pPr>
          </w:p>
        </w:tc>
        <w:tc>
          <w:tcPr>
            <w:tcW w:w="2071" w:type="dxa"/>
            <w:tcBorders>
              <w:top w:val="nil"/>
              <w:left w:val="single" w:sz="4" w:space="0" w:color="auto"/>
              <w:bottom w:val="nil"/>
              <w:right w:val="nil"/>
            </w:tcBorders>
            <w:shd w:val="clear" w:color="auto" w:fill="auto"/>
            <w:vAlign w:val="center"/>
          </w:tcPr>
          <w:p w:rsidR="002041C6" w:rsidRPr="00423A4D" w:rsidRDefault="002041C6" w:rsidP="000D7614">
            <w:pPr>
              <w:pStyle w:val="BodyText"/>
              <w:rPr>
                <w:rFonts w:ascii="Times New Roman" w:hAnsi="Times New Roman"/>
              </w:rPr>
            </w:pPr>
            <w:r w:rsidRPr="00BC4FF0">
              <w:rPr>
                <w:rFonts w:ascii="Times New Roman" w:hAnsi="Times New Roman"/>
              </w:rPr>
              <w:t>Operational Closure Date</w:t>
            </w:r>
            <w:r w:rsidR="00EB6BFA">
              <w:rPr>
                <w:rFonts w:ascii="Times New Roman" w:hAnsi="Times New Roman"/>
              </w:rPr>
              <w:t xml:space="preserve"> of Programme</w:t>
            </w:r>
          </w:p>
        </w:tc>
        <w:tc>
          <w:tcPr>
            <w:tcW w:w="2800" w:type="dxa"/>
            <w:tcBorders>
              <w:top w:val="nil"/>
              <w:left w:val="nil"/>
              <w:bottom w:val="nil"/>
              <w:right w:val="single" w:sz="4" w:space="0" w:color="auto"/>
            </w:tcBorders>
            <w:shd w:val="clear" w:color="auto" w:fill="auto"/>
          </w:tcPr>
          <w:p w:rsidR="002041C6" w:rsidRPr="00F75023" w:rsidRDefault="00EB6BFA" w:rsidP="00EB6BFA">
            <w:pPr>
              <w:pStyle w:val="BodyText"/>
              <w:rPr>
                <w:rFonts w:ascii="Times New Roman" w:hAnsi="Times New Roman"/>
              </w:rPr>
            </w:pPr>
            <w:r>
              <w:rPr>
                <w:rFonts w:ascii="Times New Roman" w:hAnsi="Times New Roman"/>
              </w:rPr>
              <w:t>31</w:t>
            </w:r>
            <w:r w:rsidR="002041C6" w:rsidRPr="008028C6">
              <w:rPr>
                <w:rFonts w:ascii="Times New Roman" w:hAnsi="Times New Roman"/>
              </w:rPr>
              <w:t xml:space="preserve"> </w:t>
            </w:r>
            <w:r>
              <w:rPr>
                <w:rFonts w:ascii="Times New Roman" w:hAnsi="Times New Roman"/>
              </w:rPr>
              <w:t>December</w:t>
            </w:r>
            <w:r w:rsidR="002041C6" w:rsidRPr="008028C6">
              <w:rPr>
                <w:rFonts w:ascii="Times New Roman" w:hAnsi="Times New Roman"/>
              </w:rPr>
              <w:t xml:space="preserve"> 201</w:t>
            </w:r>
            <w:r>
              <w:rPr>
                <w:rFonts w:ascii="Times New Roman" w:hAnsi="Times New Roman"/>
              </w:rPr>
              <w:t>2</w:t>
            </w:r>
          </w:p>
        </w:tc>
      </w:tr>
      <w:tr w:rsidR="002041C6" w:rsidRPr="00F75023" w:rsidTr="008028C6">
        <w:trPr>
          <w:trHeight w:val="80"/>
        </w:trPr>
        <w:tc>
          <w:tcPr>
            <w:tcW w:w="2970" w:type="dxa"/>
            <w:tcBorders>
              <w:top w:val="nil"/>
              <w:left w:val="single" w:sz="4" w:space="0" w:color="auto"/>
              <w:bottom w:val="single" w:sz="4" w:space="0" w:color="auto"/>
              <w:right w:val="nil"/>
            </w:tcBorders>
            <w:shd w:val="clear" w:color="auto" w:fill="auto"/>
            <w:vAlign w:val="center"/>
          </w:tcPr>
          <w:p w:rsidR="002041C6" w:rsidRPr="00F75023" w:rsidRDefault="002041C6" w:rsidP="000D7614">
            <w:pPr>
              <w:pStyle w:val="H2"/>
              <w:rPr>
                <w:rFonts w:cs="Times New Roman"/>
              </w:rPr>
            </w:pPr>
            <w:r w:rsidRPr="00F75023">
              <w:rPr>
                <w:rFonts w:cs="Times New Roman"/>
              </w:rPr>
              <w:t>TOTAL:</w:t>
            </w:r>
            <w:r w:rsidR="00391A97">
              <w:rPr>
                <w:rFonts w:cs="Times New Roman"/>
              </w:rPr>
              <w:t xml:space="preserve"> </w:t>
            </w:r>
            <w:r w:rsidR="00ED7691">
              <w:rPr>
                <w:rFonts w:cs="Times New Roman"/>
              </w:rPr>
              <w:t>1,925,352</w:t>
            </w:r>
          </w:p>
        </w:tc>
        <w:tc>
          <w:tcPr>
            <w:tcW w:w="2070" w:type="dxa"/>
            <w:tcBorders>
              <w:top w:val="nil"/>
              <w:left w:val="nil"/>
              <w:bottom w:val="single" w:sz="4" w:space="0" w:color="auto"/>
              <w:right w:val="single" w:sz="4" w:space="0" w:color="auto"/>
            </w:tcBorders>
            <w:shd w:val="clear" w:color="auto" w:fill="auto"/>
          </w:tcPr>
          <w:p w:rsidR="002041C6" w:rsidRPr="00833157" w:rsidRDefault="002041C6" w:rsidP="000D7614">
            <w:pPr>
              <w:pStyle w:val="BodyText"/>
              <w:rPr>
                <w:rFonts w:ascii="Times New Roman" w:hAnsi="Times New Roman"/>
                <w:color w:val="000000"/>
              </w:rPr>
            </w:pPr>
          </w:p>
        </w:tc>
        <w:tc>
          <w:tcPr>
            <w:tcW w:w="360" w:type="dxa"/>
            <w:tcBorders>
              <w:top w:val="nil"/>
              <w:left w:val="single" w:sz="4" w:space="0" w:color="auto"/>
              <w:bottom w:val="nil"/>
              <w:right w:val="single" w:sz="4" w:space="0" w:color="auto"/>
            </w:tcBorders>
            <w:shd w:val="clear" w:color="auto" w:fill="auto"/>
          </w:tcPr>
          <w:p w:rsidR="002041C6" w:rsidRPr="00F75023" w:rsidRDefault="002041C6" w:rsidP="000D7614">
            <w:pPr>
              <w:pStyle w:val="BodyText"/>
              <w:rPr>
                <w:rFonts w:ascii="Times New Roman" w:hAnsi="Times New Roman"/>
              </w:rPr>
            </w:pPr>
          </w:p>
        </w:tc>
        <w:tc>
          <w:tcPr>
            <w:tcW w:w="2071" w:type="dxa"/>
            <w:tcBorders>
              <w:top w:val="nil"/>
              <w:left w:val="single" w:sz="4" w:space="0" w:color="auto"/>
              <w:bottom w:val="single" w:sz="4" w:space="0" w:color="auto"/>
              <w:right w:val="nil"/>
            </w:tcBorders>
            <w:shd w:val="clear" w:color="auto" w:fill="auto"/>
            <w:vAlign w:val="center"/>
          </w:tcPr>
          <w:p w:rsidR="002041C6" w:rsidRPr="00833157" w:rsidRDefault="002041C6" w:rsidP="000D7614">
            <w:pPr>
              <w:pStyle w:val="BodyText"/>
              <w:rPr>
                <w:rFonts w:ascii="Times New Roman" w:hAnsi="Times New Roman"/>
                <w:color w:val="000000"/>
              </w:rPr>
            </w:pPr>
            <w:r w:rsidRPr="003A7D5D">
              <w:rPr>
                <w:rFonts w:ascii="Times New Roman" w:hAnsi="Times New Roman"/>
              </w:rPr>
              <w:t>Expected Financial Closure Date</w:t>
            </w:r>
          </w:p>
        </w:tc>
        <w:tc>
          <w:tcPr>
            <w:tcW w:w="2800" w:type="dxa"/>
            <w:tcBorders>
              <w:top w:val="nil"/>
              <w:left w:val="nil"/>
              <w:bottom w:val="single" w:sz="4" w:space="0" w:color="auto"/>
              <w:right w:val="single" w:sz="4" w:space="0" w:color="auto"/>
            </w:tcBorders>
            <w:shd w:val="clear" w:color="auto" w:fill="auto"/>
          </w:tcPr>
          <w:p w:rsidR="002041C6" w:rsidRPr="00F75023" w:rsidRDefault="002041C6" w:rsidP="00EB6BFA">
            <w:pPr>
              <w:pStyle w:val="BodyText"/>
              <w:rPr>
                <w:rFonts w:ascii="Times New Roman" w:hAnsi="Times New Roman"/>
              </w:rPr>
            </w:pPr>
            <w:r>
              <w:rPr>
                <w:rFonts w:ascii="Times New Roman" w:hAnsi="Times New Roman"/>
              </w:rPr>
              <w:t>3</w:t>
            </w:r>
            <w:r w:rsidR="00EB6BFA">
              <w:rPr>
                <w:rFonts w:ascii="Times New Roman" w:hAnsi="Times New Roman"/>
              </w:rPr>
              <w:t>0</w:t>
            </w:r>
            <w:r>
              <w:rPr>
                <w:rFonts w:ascii="Times New Roman" w:hAnsi="Times New Roman"/>
              </w:rPr>
              <w:t xml:space="preserve"> </w:t>
            </w:r>
            <w:r w:rsidR="00EB6BFA">
              <w:rPr>
                <w:rFonts w:ascii="Times New Roman" w:hAnsi="Times New Roman"/>
              </w:rPr>
              <w:t>April</w:t>
            </w:r>
            <w:r>
              <w:rPr>
                <w:rFonts w:ascii="Times New Roman" w:hAnsi="Times New Roman"/>
              </w:rPr>
              <w:t xml:space="preserve"> 20</w:t>
            </w:r>
            <w:r w:rsidR="00EB6BFA">
              <w:rPr>
                <w:rFonts w:ascii="Times New Roman" w:hAnsi="Times New Roman"/>
              </w:rPr>
              <w:t>13</w:t>
            </w:r>
          </w:p>
        </w:tc>
      </w:tr>
    </w:tbl>
    <w:p w:rsidR="002041C6" w:rsidRDefault="002041C6" w:rsidP="002041C6">
      <w:pPr>
        <w:jc w:val="center"/>
        <w:rPr>
          <w:b/>
          <w:bCs/>
          <w:caps/>
        </w:rPr>
      </w:pPr>
    </w:p>
    <w:tbl>
      <w:tblPr>
        <w:tblW w:w="10260" w:type="dxa"/>
        <w:tblInd w:w="-72" w:type="dxa"/>
        <w:tblLayout w:type="fixed"/>
        <w:tblLook w:val="01E0"/>
      </w:tblPr>
      <w:tblGrid>
        <w:gridCol w:w="5130"/>
        <w:gridCol w:w="270"/>
        <w:gridCol w:w="4860"/>
      </w:tblGrid>
      <w:tr w:rsidR="002041C6" w:rsidRPr="00947685" w:rsidTr="000D7614">
        <w:trPr>
          <w:trHeight w:val="206"/>
        </w:trPr>
        <w:tc>
          <w:tcPr>
            <w:tcW w:w="5130" w:type="dxa"/>
            <w:tcBorders>
              <w:top w:val="single" w:sz="4" w:space="0" w:color="auto"/>
              <w:left w:val="single" w:sz="4" w:space="0" w:color="auto"/>
              <w:right w:val="single" w:sz="4" w:space="0" w:color="auto"/>
            </w:tcBorders>
            <w:shd w:val="clear" w:color="auto" w:fill="F3F3F3"/>
          </w:tcPr>
          <w:p w:rsidR="002041C6" w:rsidRPr="00947685" w:rsidRDefault="002041C6" w:rsidP="000D7614">
            <w:pPr>
              <w:pStyle w:val="H1"/>
              <w:jc w:val="center"/>
              <w:rPr>
                <w:rFonts w:cs="Times New Roman"/>
              </w:rPr>
            </w:pPr>
            <w:r>
              <w:rPr>
                <w:rFonts w:cs="Times New Roman"/>
              </w:rPr>
              <w:t>Programme Assessments/Mid-Term Evaluation</w:t>
            </w:r>
          </w:p>
        </w:tc>
        <w:tc>
          <w:tcPr>
            <w:tcW w:w="270" w:type="dxa"/>
            <w:vMerge w:val="restart"/>
            <w:tcBorders>
              <w:left w:val="single" w:sz="4" w:space="0" w:color="auto"/>
              <w:right w:val="single" w:sz="4" w:space="0" w:color="auto"/>
            </w:tcBorders>
          </w:tcPr>
          <w:p w:rsidR="002041C6" w:rsidRPr="00947685" w:rsidRDefault="002041C6" w:rsidP="000D7614"/>
        </w:tc>
        <w:tc>
          <w:tcPr>
            <w:tcW w:w="4860" w:type="dxa"/>
            <w:tcBorders>
              <w:top w:val="single" w:sz="4" w:space="0" w:color="auto"/>
              <w:left w:val="single" w:sz="4" w:space="0" w:color="auto"/>
              <w:right w:val="single" w:sz="4" w:space="0" w:color="auto"/>
            </w:tcBorders>
            <w:shd w:val="clear" w:color="auto" w:fill="F3F3F3"/>
          </w:tcPr>
          <w:p w:rsidR="002041C6" w:rsidRPr="0026644C" w:rsidRDefault="002041C6" w:rsidP="000D7614">
            <w:pPr>
              <w:pStyle w:val="H1"/>
              <w:jc w:val="center"/>
              <w:rPr>
                <w:rFonts w:cs="Times New Roman"/>
              </w:rPr>
            </w:pPr>
            <w:r w:rsidRPr="0026644C">
              <w:rPr>
                <w:bCs w:val="0"/>
              </w:rPr>
              <w:t>Submitted By</w:t>
            </w:r>
          </w:p>
        </w:tc>
      </w:tr>
      <w:tr w:rsidR="002041C6" w:rsidRPr="00947685" w:rsidTr="000D7614">
        <w:trPr>
          <w:trHeight w:val="495"/>
        </w:trPr>
        <w:tc>
          <w:tcPr>
            <w:tcW w:w="5130" w:type="dxa"/>
            <w:tcBorders>
              <w:left w:val="single" w:sz="4" w:space="0" w:color="auto"/>
              <w:bottom w:val="single" w:sz="4" w:space="0" w:color="auto"/>
              <w:right w:val="single" w:sz="4" w:space="0" w:color="auto"/>
            </w:tcBorders>
          </w:tcPr>
          <w:p w:rsidR="002041C6" w:rsidRPr="00066978" w:rsidRDefault="002041C6" w:rsidP="000D7614">
            <w:pPr>
              <w:pStyle w:val="BodyText"/>
              <w:rPr>
                <w:rFonts w:ascii="Times New Roman" w:hAnsi="Times New Roman" w:cs="Times New Roman"/>
                <w:bCs/>
                <w:i/>
                <w:iCs/>
                <w:snapToGrid w:val="0"/>
                <w:sz w:val="18"/>
                <w:szCs w:val="18"/>
                <w:lang w:val="en-GB"/>
              </w:rPr>
            </w:pPr>
            <w:r>
              <w:rPr>
                <w:rFonts w:ascii="Times New Roman" w:hAnsi="Times New Roman"/>
              </w:rPr>
              <w:t>Assessment</w:t>
            </w:r>
            <w:r w:rsidRPr="00084444">
              <w:rPr>
                <w:rFonts w:ascii="Times New Roman" w:hAnsi="Times New Roman"/>
              </w:rPr>
              <w:t xml:space="preserve"> </w:t>
            </w:r>
            <w:r>
              <w:rPr>
                <w:rFonts w:ascii="Times New Roman" w:hAnsi="Times New Roman"/>
              </w:rPr>
              <w:t xml:space="preserve">Completed  - if applicable </w:t>
            </w:r>
            <w:r w:rsidRPr="00066978">
              <w:rPr>
                <w:rFonts w:ascii="Times New Roman" w:hAnsi="Times New Roman" w:cs="Times New Roman"/>
                <w:bCs/>
                <w:i/>
                <w:iCs/>
                <w:snapToGrid w:val="0"/>
                <w:sz w:val="18"/>
                <w:szCs w:val="18"/>
                <w:lang w:val="en-GB"/>
              </w:rPr>
              <w:t>please attach</w:t>
            </w:r>
          </w:p>
          <w:p w:rsidR="002041C6" w:rsidRDefault="00B74F74" w:rsidP="000D7614">
            <w:pPr>
              <w:pStyle w:val="BodyText"/>
              <w:rPr>
                <w:rFonts w:ascii="Times New Roman" w:hAnsi="Times New Roman"/>
              </w:rPr>
            </w:pPr>
            <w:r w:rsidRPr="00B74F74">
              <w:rPr>
                <w:rFonts w:ascii="Times New Roman" w:hAnsi="Times New Roman"/>
                <w:i/>
                <w:noProof/>
              </w:rPr>
              <w:pict>
                <v:rect id="_x0000_s1031" style="position:absolute;margin-left:41.3pt;margin-top:1.35pt;width:7.15pt;height:7.15pt;z-index:251656192"/>
              </w:pict>
            </w:r>
            <w:r w:rsidRPr="00B74F74">
              <w:rPr>
                <w:rFonts w:ascii="Times New Roman" w:hAnsi="Times New Roman"/>
                <w:i/>
                <w:noProof/>
              </w:rPr>
              <w:pict>
                <v:rect id="_x0000_s1034" style="position:absolute;margin-left:-.7pt;margin-top:1.35pt;width:7.15pt;height:7.15pt;z-index:251659264"/>
              </w:pict>
            </w:r>
            <w:r w:rsidR="002041C6">
              <w:rPr>
                <w:rFonts w:ascii="Times New Roman" w:hAnsi="Times New Roman"/>
              </w:rPr>
              <w:t xml:space="preserve">     Yes          No    Date: __________________</w:t>
            </w:r>
          </w:p>
          <w:p w:rsidR="002041C6" w:rsidRPr="004D1571" w:rsidRDefault="002041C6" w:rsidP="000D7614">
            <w:pPr>
              <w:pStyle w:val="BodyText"/>
              <w:rPr>
                <w:rFonts w:ascii="Times New Roman" w:hAnsi="Times New Roman"/>
              </w:rPr>
            </w:pPr>
            <w:r>
              <w:rPr>
                <w:rFonts w:ascii="Times New Roman" w:hAnsi="Times New Roman"/>
              </w:rPr>
              <w:t>Mid-</w:t>
            </w:r>
            <w:r w:rsidRPr="00084444">
              <w:rPr>
                <w:rFonts w:ascii="Times New Roman" w:hAnsi="Times New Roman"/>
              </w:rPr>
              <w:t xml:space="preserve">Evaluation Report </w:t>
            </w:r>
            <w:r w:rsidRPr="00066978">
              <w:rPr>
                <w:rFonts w:ascii="Times New Roman" w:hAnsi="Times New Roman" w:cs="Times New Roman"/>
                <w:bCs/>
                <w:i/>
                <w:iCs/>
                <w:snapToGrid w:val="0"/>
                <w:sz w:val="18"/>
                <w:szCs w:val="18"/>
                <w:lang w:val="en-GB"/>
              </w:rPr>
              <w:t xml:space="preserve">– </w:t>
            </w:r>
            <w:r>
              <w:rPr>
                <w:rFonts w:ascii="Times New Roman" w:hAnsi="Times New Roman" w:cs="Times New Roman"/>
                <w:bCs/>
                <w:i/>
                <w:iCs/>
                <w:snapToGrid w:val="0"/>
                <w:sz w:val="18"/>
                <w:szCs w:val="18"/>
                <w:lang w:val="en-GB"/>
              </w:rPr>
              <w:t xml:space="preserve">if applicable </w:t>
            </w:r>
            <w:r w:rsidRPr="00066978">
              <w:rPr>
                <w:rFonts w:ascii="Times New Roman" w:hAnsi="Times New Roman" w:cs="Times New Roman"/>
                <w:bCs/>
                <w:i/>
                <w:iCs/>
                <w:snapToGrid w:val="0"/>
                <w:sz w:val="18"/>
                <w:szCs w:val="18"/>
                <w:lang w:val="en-GB"/>
              </w:rPr>
              <w:t>please attach</w:t>
            </w:r>
            <w:r>
              <w:rPr>
                <w:rFonts w:ascii="Times New Roman" w:hAnsi="Times New Roman"/>
                <w:b/>
              </w:rPr>
              <w:t xml:space="preserve">          </w:t>
            </w:r>
          </w:p>
          <w:p w:rsidR="002041C6" w:rsidRPr="003507AD" w:rsidRDefault="00B74F74" w:rsidP="000D7614">
            <w:pPr>
              <w:pStyle w:val="BodyText"/>
              <w:rPr>
                <w:rFonts w:ascii="Times New Roman" w:hAnsi="Times New Roman"/>
              </w:rPr>
            </w:pPr>
            <w:r w:rsidRPr="00B74F74">
              <w:rPr>
                <w:rFonts w:ascii="Times New Roman" w:hAnsi="Times New Roman"/>
                <w:i/>
                <w:noProof/>
              </w:rPr>
              <w:pict>
                <v:rect id="_x0000_s1033" style="position:absolute;margin-left:40.9pt;margin-top:1.6pt;width:7.15pt;height:7.15pt;z-index:251658240"/>
              </w:pict>
            </w:r>
            <w:r w:rsidRPr="00B74F74">
              <w:rPr>
                <w:rFonts w:ascii="Times New Roman" w:hAnsi="Times New Roman"/>
                <w:i/>
                <w:noProof/>
              </w:rPr>
              <w:pict>
                <v:rect id="_x0000_s1032" style="position:absolute;margin-left:-.7pt;margin-top:1.65pt;width:7.15pt;height:7.15pt;z-index:251657216"/>
              </w:pict>
            </w:r>
            <w:r w:rsidR="002041C6">
              <w:rPr>
                <w:rFonts w:ascii="Times New Roman" w:hAnsi="Times New Roman"/>
              </w:rPr>
              <w:t xml:space="preserve">      </w:t>
            </w:r>
            <w:r w:rsidR="002041C6" w:rsidRPr="002A0C41">
              <w:rPr>
                <w:rFonts w:ascii="Times New Roman" w:hAnsi="Times New Roman"/>
              </w:rPr>
              <w:t>Yes</w:t>
            </w:r>
            <w:r w:rsidR="002041C6">
              <w:rPr>
                <w:rFonts w:ascii="Times New Roman" w:hAnsi="Times New Roman"/>
              </w:rPr>
              <w:t xml:space="preserve">          </w:t>
            </w:r>
            <w:r w:rsidR="002041C6" w:rsidRPr="002A0C41">
              <w:rPr>
                <w:rFonts w:ascii="Times New Roman" w:hAnsi="Times New Roman"/>
              </w:rPr>
              <w:t>No</w:t>
            </w:r>
            <w:r w:rsidR="002041C6">
              <w:rPr>
                <w:rFonts w:ascii="Times New Roman" w:hAnsi="Times New Roman"/>
              </w:rPr>
              <w:t xml:space="preserve">    Date: __________________</w:t>
            </w:r>
          </w:p>
        </w:tc>
        <w:tc>
          <w:tcPr>
            <w:tcW w:w="270" w:type="dxa"/>
            <w:vMerge/>
            <w:tcBorders>
              <w:left w:val="single" w:sz="4" w:space="0" w:color="auto"/>
              <w:right w:val="single" w:sz="4" w:space="0" w:color="auto"/>
            </w:tcBorders>
          </w:tcPr>
          <w:p w:rsidR="002041C6" w:rsidRPr="00947685" w:rsidRDefault="002041C6" w:rsidP="000D7614">
            <w:pPr>
              <w:pStyle w:val="BodyText"/>
              <w:rPr>
                <w:rFonts w:ascii="Times New Roman" w:hAnsi="Times New Roman"/>
              </w:rPr>
            </w:pPr>
          </w:p>
        </w:tc>
        <w:tc>
          <w:tcPr>
            <w:tcW w:w="4860" w:type="dxa"/>
            <w:tcBorders>
              <w:left w:val="single" w:sz="4" w:space="0" w:color="auto"/>
              <w:bottom w:val="single" w:sz="4" w:space="0" w:color="auto"/>
              <w:right w:val="single" w:sz="4" w:space="0" w:color="auto"/>
            </w:tcBorders>
          </w:tcPr>
          <w:p w:rsidR="002041C6" w:rsidRPr="000B017F" w:rsidRDefault="002041C6" w:rsidP="004F3580">
            <w:pPr>
              <w:numPr>
                <w:ilvl w:val="0"/>
                <w:numId w:val="7"/>
              </w:numPr>
              <w:ind w:left="342"/>
              <w:rPr>
                <w:sz w:val="20"/>
                <w:lang w:val="en-GB"/>
              </w:rPr>
            </w:pPr>
            <w:r w:rsidRPr="000B017F">
              <w:rPr>
                <w:sz w:val="20"/>
                <w:lang w:val="en-GB"/>
              </w:rPr>
              <w:t>Name:</w:t>
            </w:r>
            <w:r w:rsidR="00391A97" w:rsidRPr="000B017F">
              <w:rPr>
                <w:sz w:val="20"/>
                <w:lang w:val="en-GB"/>
              </w:rPr>
              <w:t xml:space="preserve"> Neil Tobin</w:t>
            </w:r>
          </w:p>
          <w:p w:rsidR="002041C6" w:rsidRPr="000B017F" w:rsidRDefault="002041C6" w:rsidP="004F3580">
            <w:pPr>
              <w:numPr>
                <w:ilvl w:val="0"/>
                <w:numId w:val="7"/>
              </w:numPr>
              <w:ind w:left="342"/>
              <w:rPr>
                <w:sz w:val="20"/>
                <w:lang w:val="en-GB"/>
              </w:rPr>
            </w:pPr>
            <w:r w:rsidRPr="000B017F">
              <w:rPr>
                <w:sz w:val="20"/>
                <w:lang w:val="en-GB"/>
              </w:rPr>
              <w:t>Title:</w:t>
            </w:r>
            <w:r w:rsidR="00391A97" w:rsidRPr="000B017F">
              <w:rPr>
                <w:sz w:val="20"/>
                <w:lang w:val="en-GB"/>
              </w:rPr>
              <w:t xml:space="preserve"> Programme Officer </w:t>
            </w:r>
          </w:p>
          <w:p w:rsidR="002041C6" w:rsidRPr="000B017F" w:rsidRDefault="002041C6" w:rsidP="004F3580">
            <w:pPr>
              <w:numPr>
                <w:ilvl w:val="0"/>
                <w:numId w:val="7"/>
              </w:numPr>
              <w:ind w:left="342"/>
              <w:rPr>
                <w:sz w:val="20"/>
                <w:lang w:val="en-GB"/>
              </w:rPr>
            </w:pPr>
            <w:r w:rsidRPr="000B017F">
              <w:rPr>
                <w:sz w:val="20"/>
                <w:lang w:val="en-GB"/>
              </w:rPr>
              <w:t>Participating Organization (Lead):</w:t>
            </w:r>
            <w:r w:rsidR="00391A97" w:rsidRPr="000B017F">
              <w:rPr>
                <w:sz w:val="20"/>
                <w:lang w:val="en-GB"/>
              </w:rPr>
              <w:t xml:space="preserve"> UNAIDS</w:t>
            </w:r>
          </w:p>
          <w:p w:rsidR="002041C6" w:rsidRPr="004D1571" w:rsidRDefault="002041C6" w:rsidP="004F3580">
            <w:pPr>
              <w:pStyle w:val="BodyText"/>
              <w:numPr>
                <w:ilvl w:val="0"/>
                <w:numId w:val="7"/>
              </w:numPr>
              <w:spacing w:after="120"/>
              <w:ind w:left="342"/>
              <w:jc w:val="both"/>
              <w:rPr>
                <w:rFonts w:ascii="Times New Roman" w:hAnsi="Times New Roman"/>
                <w:b/>
                <w:bCs/>
                <w:snapToGrid w:val="0"/>
                <w:kern w:val="32"/>
                <w:sz w:val="24"/>
                <w:szCs w:val="32"/>
              </w:rPr>
            </w:pPr>
            <w:r w:rsidRPr="000B017F">
              <w:rPr>
                <w:rFonts w:ascii="Times New Roman" w:hAnsi="Times New Roman"/>
                <w:sz w:val="18"/>
              </w:rPr>
              <w:t>Email address:</w:t>
            </w:r>
            <w:r w:rsidR="00391A97" w:rsidRPr="000B017F">
              <w:rPr>
                <w:rFonts w:ascii="Times New Roman" w:hAnsi="Times New Roman"/>
                <w:sz w:val="18"/>
              </w:rPr>
              <w:t xml:space="preserve"> </w:t>
            </w:r>
            <w:hyperlink r:id="rId8" w:history="1">
              <w:r w:rsidR="00391A97" w:rsidRPr="000B017F">
                <w:rPr>
                  <w:rStyle w:val="Hyperlink"/>
                  <w:rFonts w:ascii="Times New Roman" w:hAnsi="Times New Roman"/>
                  <w:sz w:val="18"/>
                </w:rPr>
                <w:t>tobinn@unaids.org</w:t>
              </w:r>
            </w:hyperlink>
            <w:r w:rsidR="00391A97" w:rsidRPr="000B017F">
              <w:rPr>
                <w:rFonts w:ascii="Times New Roman" w:hAnsi="Times New Roman"/>
                <w:sz w:val="18"/>
              </w:rPr>
              <w:t xml:space="preserve"> </w:t>
            </w:r>
          </w:p>
        </w:tc>
      </w:tr>
    </w:tbl>
    <w:p w:rsidR="002041C6" w:rsidRDefault="002041C6" w:rsidP="000B017F">
      <w:pPr>
        <w:pStyle w:val="NoSpacing"/>
        <w:numPr>
          <w:ilvl w:val="0"/>
          <w:numId w:val="42"/>
        </w:numPr>
        <w:rPr>
          <w:rFonts w:ascii="Times New Roman" w:hAnsi="Times New Roman"/>
          <w:b/>
          <w:sz w:val="24"/>
          <w:szCs w:val="24"/>
        </w:rPr>
      </w:pPr>
      <w:r>
        <w:br w:type="page"/>
      </w:r>
      <w:r w:rsidR="00F96466" w:rsidRPr="000B017F">
        <w:rPr>
          <w:rFonts w:ascii="Times New Roman" w:hAnsi="Times New Roman"/>
          <w:b/>
          <w:sz w:val="24"/>
          <w:szCs w:val="24"/>
        </w:rPr>
        <w:lastRenderedPageBreak/>
        <w:t>Purpose</w:t>
      </w:r>
    </w:p>
    <w:p w:rsidR="000B017F" w:rsidRPr="000B017F" w:rsidRDefault="000B017F" w:rsidP="000B017F">
      <w:pPr>
        <w:pStyle w:val="NoSpacing"/>
        <w:ind w:left="720"/>
        <w:rPr>
          <w:rFonts w:ascii="Times New Roman" w:hAnsi="Times New Roman"/>
          <w:b/>
          <w:sz w:val="24"/>
          <w:szCs w:val="24"/>
        </w:rPr>
      </w:pPr>
    </w:p>
    <w:p w:rsidR="00F96466" w:rsidRDefault="00F96466" w:rsidP="00910C6C">
      <w:pPr>
        <w:pStyle w:val="ListParagraph"/>
        <w:ind w:left="0"/>
        <w:jc w:val="both"/>
      </w:pPr>
      <w:r>
        <w:rPr>
          <w:rFonts w:cstheme="minorHAnsi"/>
          <w:bCs/>
        </w:rPr>
        <w:t xml:space="preserve">The overall purpose of </w:t>
      </w:r>
      <w:r w:rsidR="00870663">
        <w:rPr>
          <w:rFonts w:cstheme="minorHAnsi"/>
          <w:bCs/>
        </w:rPr>
        <w:t>the UN Joint Vision ‘</w:t>
      </w:r>
      <w:r>
        <w:rPr>
          <w:rFonts w:cstheme="minorHAnsi"/>
          <w:bCs/>
        </w:rPr>
        <w:t xml:space="preserve">Programme 6 HIV/AIDS </w:t>
      </w:r>
      <w:r w:rsidR="00870663">
        <w:rPr>
          <w:rFonts w:cstheme="minorHAnsi"/>
          <w:bCs/>
        </w:rPr>
        <w:t xml:space="preserve">&amp; Malaria’ is </w:t>
      </w:r>
      <w:r w:rsidR="00870663" w:rsidRPr="001C1242">
        <w:rPr>
          <w:rFonts w:cstheme="minorHAnsi"/>
          <w:bCs/>
        </w:rPr>
        <w:t>to halt and reverse the spread of the</w:t>
      </w:r>
      <w:r w:rsidR="00870663">
        <w:rPr>
          <w:rFonts w:cstheme="minorHAnsi"/>
          <w:bCs/>
        </w:rPr>
        <w:t xml:space="preserve"> epidemic of HIV</w:t>
      </w:r>
      <w:r w:rsidR="00870663" w:rsidRPr="001C1242">
        <w:rPr>
          <w:rFonts w:cstheme="minorHAnsi"/>
          <w:bCs/>
        </w:rPr>
        <w:t xml:space="preserve"> and the incidence of malaria</w:t>
      </w:r>
      <w:r w:rsidR="00870663">
        <w:rPr>
          <w:rFonts w:cstheme="minorHAnsi"/>
          <w:bCs/>
        </w:rPr>
        <w:t xml:space="preserve"> in Sierra Leone. </w:t>
      </w:r>
      <w:r w:rsidR="001F553B">
        <w:rPr>
          <w:color w:val="1A1A1A"/>
        </w:rPr>
        <w:t xml:space="preserve">Programme 6 </w:t>
      </w:r>
      <w:r w:rsidR="001F553B" w:rsidRPr="00F84A27">
        <w:rPr>
          <w:bCs/>
          <w:noProof/>
        </w:rPr>
        <w:t xml:space="preserve">represents </w:t>
      </w:r>
      <w:r w:rsidR="001F553B" w:rsidRPr="00F84A27">
        <w:t>the responsiveness and harmonized integration of all UN agencies</w:t>
      </w:r>
      <w:r w:rsidR="005D40AB">
        <w:t>’</w:t>
      </w:r>
      <w:r w:rsidR="001F553B" w:rsidRPr="00F84A27">
        <w:t xml:space="preserve"> HIV</w:t>
      </w:r>
      <w:r w:rsidR="001F553B">
        <w:t xml:space="preserve"> and Malaria</w:t>
      </w:r>
      <w:r w:rsidR="001F553B" w:rsidRPr="00F84A27">
        <w:t xml:space="preserve"> activities in Sierra Leone</w:t>
      </w:r>
      <w:r w:rsidR="001F553B">
        <w:t xml:space="preserve"> and </w:t>
      </w:r>
      <w:r w:rsidR="001F553B" w:rsidRPr="00793C4A">
        <w:t xml:space="preserve">contributes towards achieving national targets and the MDG of stopping and reversing the spread of HIV </w:t>
      </w:r>
      <w:r w:rsidR="001F553B">
        <w:t xml:space="preserve">and incidence of Malaria </w:t>
      </w:r>
      <w:r w:rsidR="001F553B" w:rsidRPr="00793C4A">
        <w:t>by 2015, as well as assist</w:t>
      </w:r>
      <w:r w:rsidR="005D40AB">
        <w:t>ing</w:t>
      </w:r>
      <w:r w:rsidR="001F553B" w:rsidRPr="00793C4A">
        <w:t xml:space="preserve"> in the attainment of the other MDGs in reducing poverty, hunger, and child and maternal mortality.</w:t>
      </w:r>
    </w:p>
    <w:p w:rsidR="00ED7691" w:rsidRDefault="00ED7691" w:rsidP="00910C6C">
      <w:pPr>
        <w:pStyle w:val="ListParagraph"/>
        <w:ind w:left="0"/>
        <w:jc w:val="both"/>
      </w:pPr>
    </w:p>
    <w:p w:rsidR="00ED7691" w:rsidRDefault="00ED7691" w:rsidP="00910C6C">
      <w:pPr>
        <w:pStyle w:val="ListParagraph"/>
        <w:ind w:left="0"/>
        <w:jc w:val="both"/>
        <w:rPr>
          <w:rFonts w:cstheme="minorHAnsi"/>
          <w:bCs/>
        </w:rPr>
      </w:pPr>
      <w:r>
        <w:t>In total</w:t>
      </w:r>
      <w:r w:rsidR="005D40AB">
        <w:t>,</w:t>
      </w:r>
      <w:r>
        <w:t xml:space="preserve"> Programme 6 captures the work of 10 UN agencies</w:t>
      </w:r>
      <w:r w:rsidR="005D40AB">
        <w:t>’</w:t>
      </w:r>
      <w:r>
        <w:t xml:space="preserve"> HI</w:t>
      </w:r>
      <w:r w:rsidR="005D40AB">
        <w:t>V/AIDS activities and 2 UN a</w:t>
      </w:r>
      <w:r>
        <w:t>gencies</w:t>
      </w:r>
      <w:r w:rsidR="005D40AB">
        <w:t>’</w:t>
      </w:r>
      <w:r>
        <w:t xml:space="preserve"> Malaria activities,</w:t>
      </w:r>
      <w:r w:rsidR="00853D9E">
        <w:t xml:space="preserve"> however this report will focus</w:t>
      </w:r>
      <w:r>
        <w:t xml:space="preserve"> on three agencies</w:t>
      </w:r>
      <w:r w:rsidR="005D40AB">
        <w:t>’</w:t>
      </w:r>
      <w:r>
        <w:t xml:space="preserve"> </w:t>
      </w:r>
      <w:r w:rsidR="00853D9E">
        <w:t>MDTF ‘Delivering as One’ supported activities</w:t>
      </w:r>
      <w:r w:rsidR="005D40AB">
        <w:t>,</w:t>
      </w:r>
      <w:r w:rsidR="00853D9E">
        <w:t xml:space="preserve"> </w:t>
      </w:r>
      <w:r>
        <w:t>including UNICEF and WHO</w:t>
      </w:r>
      <w:r w:rsidR="005D40AB">
        <w:t>’</w:t>
      </w:r>
      <w:r>
        <w:t xml:space="preserve">s support to the national malaria response and WFPs support to the national response to HIV/AIDS.  </w:t>
      </w:r>
    </w:p>
    <w:p w:rsidR="00F96466" w:rsidRDefault="00F96466" w:rsidP="00910C6C">
      <w:pPr>
        <w:pStyle w:val="ListParagraph"/>
        <w:ind w:left="0"/>
        <w:jc w:val="both"/>
        <w:rPr>
          <w:rFonts w:cstheme="minorHAnsi"/>
          <w:bCs/>
        </w:rPr>
      </w:pPr>
    </w:p>
    <w:p w:rsidR="00F96466" w:rsidRPr="001669FF" w:rsidRDefault="00853D9E" w:rsidP="00910C6C">
      <w:pPr>
        <w:jc w:val="both"/>
      </w:pPr>
      <w:r w:rsidRPr="001669FF">
        <w:t xml:space="preserve">In doing so the report will provide details on the resources allocated, implementation arrangements, objectives and results </w:t>
      </w:r>
      <w:r w:rsidR="005D40AB">
        <w:t>achieved and finally,</w:t>
      </w:r>
      <w:r w:rsidRPr="001669FF">
        <w:t xml:space="preserve"> </w:t>
      </w:r>
      <w:r w:rsidR="00910C6C">
        <w:t xml:space="preserve">the report will highlight </w:t>
      </w:r>
      <w:r w:rsidRPr="001669FF">
        <w:t xml:space="preserve">future </w:t>
      </w:r>
      <w:r w:rsidR="00910C6C">
        <w:t xml:space="preserve">activity </w:t>
      </w:r>
      <w:r w:rsidR="005D40AB">
        <w:t>plans. S</w:t>
      </w:r>
      <w:r w:rsidRPr="001669FF">
        <w:t>pecifically th</w:t>
      </w:r>
      <w:r w:rsidR="001669FF" w:rsidRPr="001669FF">
        <w:t>e report will focus on three key</w:t>
      </w:r>
      <w:r w:rsidRPr="001669FF">
        <w:t xml:space="preserve"> activities including; </w:t>
      </w:r>
    </w:p>
    <w:p w:rsidR="00F96466" w:rsidRDefault="00F96466" w:rsidP="00F96466">
      <w:pPr>
        <w:jc w:val="both"/>
        <w:rPr>
          <w:rFonts w:ascii="Calibri" w:hAnsi="Calibri" w:cs="Arial"/>
          <w:sz w:val="20"/>
          <w:szCs w:val="20"/>
        </w:rPr>
      </w:pPr>
    </w:p>
    <w:p w:rsidR="009A5EC3" w:rsidRPr="000B017F" w:rsidRDefault="009A5EC3" w:rsidP="009A5EC3">
      <w:pPr>
        <w:pStyle w:val="Heading2"/>
        <w:numPr>
          <w:ilvl w:val="0"/>
          <w:numId w:val="26"/>
        </w:numPr>
        <w:rPr>
          <w:b w:val="0"/>
          <w:sz w:val="24"/>
        </w:rPr>
      </w:pPr>
      <w:r w:rsidRPr="000B017F">
        <w:rPr>
          <w:b w:val="0"/>
          <w:sz w:val="24"/>
        </w:rPr>
        <w:t>Malaria Control, L</w:t>
      </w:r>
      <w:r w:rsidR="008C0257" w:rsidRPr="000B017F">
        <w:rPr>
          <w:b w:val="0"/>
          <w:sz w:val="24"/>
        </w:rPr>
        <w:t xml:space="preserve">ong </w:t>
      </w:r>
      <w:r w:rsidRPr="000B017F">
        <w:rPr>
          <w:b w:val="0"/>
          <w:sz w:val="24"/>
        </w:rPr>
        <w:t>L</w:t>
      </w:r>
      <w:r w:rsidR="008C0257" w:rsidRPr="000B017F">
        <w:rPr>
          <w:b w:val="0"/>
          <w:sz w:val="24"/>
        </w:rPr>
        <w:t xml:space="preserve">asting </w:t>
      </w:r>
      <w:r w:rsidRPr="000B017F">
        <w:rPr>
          <w:b w:val="0"/>
          <w:sz w:val="24"/>
        </w:rPr>
        <w:t>I</w:t>
      </w:r>
      <w:r w:rsidR="008C0257" w:rsidRPr="000B017F">
        <w:rPr>
          <w:b w:val="0"/>
          <w:sz w:val="24"/>
        </w:rPr>
        <w:t xml:space="preserve">nsecticide-treated </w:t>
      </w:r>
      <w:r w:rsidRPr="000B017F">
        <w:rPr>
          <w:b w:val="0"/>
          <w:sz w:val="24"/>
        </w:rPr>
        <w:t>N</w:t>
      </w:r>
      <w:r w:rsidR="008C0257" w:rsidRPr="000B017F">
        <w:rPr>
          <w:b w:val="0"/>
          <w:sz w:val="24"/>
        </w:rPr>
        <w:t>et</w:t>
      </w:r>
      <w:r w:rsidRPr="000B017F">
        <w:rPr>
          <w:b w:val="0"/>
          <w:sz w:val="24"/>
        </w:rPr>
        <w:t>s</w:t>
      </w:r>
      <w:r w:rsidR="008C0257" w:rsidRPr="000B017F">
        <w:rPr>
          <w:b w:val="0"/>
          <w:sz w:val="24"/>
        </w:rPr>
        <w:t xml:space="preserve"> (LLINs)</w:t>
      </w:r>
      <w:r w:rsidRPr="000B017F">
        <w:rPr>
          <w:b w:val="0"/>
          <w:sz w:val="24"/>
        </w:rPr>
        <w:t xml:space="preserve"> Universal Coverage – UNICEF</w:t>
      </w:r>
    </w:p>
    <w:p w:rsidR="00792776" w:rsidRPr="000B017F" w:rsidRDefault="00792776" w:rsidP="00792776">
      <w:pPr>
        <w:pStyle w:val="ListParagraph"/>
        <w:numPr>
          <w:ilvl w:val="0"/>
          <w:numId w:val="26"/>
        </w:numPr>
      </w:pPr>
      <w:r w:rsidRPr="000B017F">
        <w:t>Technical and operational support to malaria vector control interventions – WHO</w:t>
      </w:r>
    </w:p>
    <w:p w:rsidR="009A5EC3" w:rsidRDefault="009A5EC3" w:rsidP="009A5EC3">
      <w:pPr>
        <w:pStyle w:val="ListParagraph"/>
        <w:numPr>
          <w:ilvl w:val="0"/>
          <w:numId w:val="26"/>
        </w:numPr>
      </w:pPr>
      <w:r w:rsidRPr="000B017F">
        <w:t>Nutritional</w:t>
      </w:r>
      <w:r>
        <w:t xml:space="preserve"> Support to People living with HIV and TB – WFP</w:t>
      </w:r>
    </w:p>
    <w:p w:rsidR="009A5EC3" w:rsidRDefault="009A5EC3" w:rsidP="009A5EC3"/>
    <w:p w:rsidR="009A5EC3" w:rsidRDefault="00A15E30" w:rsidP="009A5EC3">
      <w:r>
        <w:t>All three projects are designed and implemented in support of the broader UN Joint Vision Development Goal:</w:t>
      </w:r>
    </w:p>
    <w:p w:rsidR="00A15E30" w:rsidRDefault="00A15E30" w:rsidP="009A5EC3"/>
    <w:p w:rsidR="00A15E30" w:rsidRPr="009A5EC3" w:rsidRDefault="00A15E30" w:rsidP="00A15E30">
      <w:pPr>
        <w:pStyle w:val="ListParagraph"/>
        <w:numPr>
          <w:ilvl w:val="0"/>
          <w:numId w:val="5"/>
        </w:numPr>
      </w:pPr>
      <w:r w:rsidRPr="00A15E30">
        <w:rPr>
          <w:bCs/>
          <w:szCs w:val="22"/>
        </w:rPr>
        <w:t xml:space="preserve">To </w:t>
      </w:r>
      <w:r w:rsidRPr="00A15E30">
        <w:rPr>
          <w:spacing w:val="-3"/>
        </w:rPr>
        <w:t>improve the national health services and in particular, a national infectious disease control programme that will contribute to the control of the most dangerous infectious diseases for Sierra Leone: malaria and HIV/AIDS</w:t>
      </w:r>
      <w:r w:rsidR="005D40AB">
        <w:rPr>
          <w:spacing w:val="-3"/>
        </w:rPr>
        <w:t>.</w:t>
      </w:r>
    </w:p>
    <w:p w:rsidR="00A15E30" w:rsidRDefault="00A15E30" w:rsidP="000D7614">
      <w:pPr>
        <w:pStyle w:val="Heading2"/>
        <w:rPr>
          <w:b w:val="0"/>
          <w:sz w:val="24"/>
          <w:u w:val="single"/>
        </w:rPr>
      </w:pPr>
    </w:p>
    <w:p w:rsidR="000D7614" w:rsidRPr="000D7614" w:rsidRDefault="000D7614" w:rsidP="000B017F">
      <w:pPr>
        <w:pStyle w:val="Heading2"/>
        <w:spacing w:after="120"/>
        <w:rPr>
          <w:b w:val="0"/>
          <w:sz w:val="24"/>
          <w:u w:val="single"/>
        </w:rPr>
      </w:pPr>
      <w:r w:rsidRPr="000D7614">
        <w:rPr>
          <w:b w:val="0"/>
          <w:sz w:val="24"/>
          <w:u w:val="single"/>
        </w:rPr>
        <w:t>Malaria Control, LLINs Universal Coverage – UNICEF</w:t>
      </w:r>
    </w:p>
    <w:p w:rsidR="00ED318B" w:rsidRDefault="000D7614" w:rsidP="00ED318B">
      <w:pPr>
        <w:tabs>
          <w:tab w:val="left" w:pos="-720"/>
          <w:tab w:val="left" w:pos="0"/>
          <w:tab w:val="left" w:pos="4500"/>
        </w:tabs>
        <w:suppressAutoHyphens/>
        <w:jc w:val="both"/>
        <w:rPr>
          <w:spacing w:val="-3"/>
        </w:rPr>
      </w:pPr>
      <w:r>
        <w:rPr>
          <w:spacing w:val="-3"/>
        </w:rPr>
        <w:t xml:space="preserve">Project Objective: </w:t>
      </w:r>
    </w:p>
    <w:p w:rsidR="00ED318B" w:rsidRPr="00ED318B" w:rsidRDefault="000D7614" w:rsidP="00ED318B">
      <w:pPr>
        <w:tabs>
          <w:tab w:val="left" w:pos="-720"/>
          <w:tab w:val="left" w:pos="0"/>
          <w:tab w:val="left" w:pos="4500"/>
        </w:tabs>
        <w:suppressAutoHyphens/>
        <w:jc w:val="both"/>
        <w:rPr>
          <w:spacing w:val="-3"/>
        </w:rPr>
      </w:pPr>
      <w:r w:rsidRPr="00ED318B">
        <w:rPr>
          <w:spacing w:val="-3"/>
        </w:rPr>
        <w:t xml:space="preserve">Improved utilization of </w:t>
      </w:r>
      <w:r w:rsidRPr="00ED318B">
        <w:t>Long Lasting Insecticide treated Nets</w:t>
      </w:r>
      <w:r w:rsidRPr="00ED318B">
        <w:rPr>
          <w:spacing w:val="-3"/>
        </w:rPr>
        <w:t xml:space="preserve"> </w:t>
      </w:r>
      <w:r w:rsidR="005D40AB" w:rsidRPr="00ED318B">
        <w:rPr>
          <w:spacing w:val="-3"/>
        </w:rPr>
        <w:t>(</w:t>
      </w:r>
      <w:r w:rsidRPr="00ED318B">
        <w:rPr>
          <w:spacing w:val="-3"/>
        </w:rPr>
        <w:t>LLINs</w:t>
      </w:r>
      <w:r w:rsidR="005D40AB" w:rsidRPr="00ED318B">
        <w:rPr>
          <w:spacing w:val="-3"/>
        </w:rPr>
        <w:t>)</w:t>
      </w:r>
      <w:r w:rsidRPr="00ED318B">
        <w:rPr>
          <w:spacing w:val="-3"/>
        </w:rPr>
        <w:t xml:space="preserve"> by all persons in Sierra Leone with great emphasis on under five and pregnant women.</w:t>
      </w:r>
      <w:r w:rsidR="00ED318B" w:rsidRPr="00ED318B">
        <w:rPr>
          <w:spacing w:val="-3"/>
        </w:rPr>
        <w:t xml:space="preserve"> More specifically the </w:t>
      </w:r>
      <w:r w:rsidR="00ED318B" w:rsidRPr="00ED318B">
        <w:t>provision of Long lasting Insecticide-treated Nets (LLINs) to ensure universal coverage. The project has two main components: Procuring and distribution of 1.8 millions treated nets and  social mobilization campaign on the correct utilization of the insecticide treated bed nets.</w:t>
      </w:r>
    </w:p>
    <w:p w:rsidR="00ED318B" w:rsidRDefault="00ED318B" w:rsidP="00ED318B">
      <w:pPr>
        <w:jc w:val="both"/>
        <w:rPr>
          <w:rFonts w:cs="Arial"/>
        </w:rPr>
      </w:pPr>
    </w:p>
    <w:p w:rsidR="00ED318B" w:rsidRDefault="00ED318B" w:rsidP="000B017F">
      <w:pPr>
        <w:spacing w:after="120"/>
        <w:jc w:val="both"/>
        <w:rPr>
          <w:bCs/>
        </w:rPr>
      </w:pPr>
      <w:r>
        <w:rPr>
          <w:rFonts w:cs="Arial"/>
        </w:rPr>
        <w:t>The expected outcome with this s</w:t>
      </w:r>
      <w:r w:rsidRPr="00D10FA4">
        <w:rPr>
          <w:rFonts w:cs="Arial"/>
        </w:rPr>
        <w:t xml:space="preserve">upport to the </w:t>
      </w:r>
      <w:r>
        <w:rPr>
          <w:rFonts w:cs="Arial"/>
        </w:rPr>
        <w:t>Government of Sierra Leone</w:t>
      </w:r>
      <w:r w:rsidRPr="00D10FA4">
        <w:rPr>
          <w:rFonts w:cs="Arial"/>
        </w:rPr>
        <w:t xml:space="preserve"> t</w:t>
      </w:r>
      <w:r>
        <w:rPr>
          <w:rFonts w:cs="Arial"/>
        </w:rPr>
        <w:t>h</w:t>
      </w:r>
      <w:r w:rsidRPr="00D10FA4">
        <w:rPr>
          <w:rFonts w:cs="Arial"/>
        </w:rPr>
        <w:t>rough the Minis</w:t>
      </w:r>
      <w:r>
        <w:rPr>
          <w:rFonts w:cs="Arial"/>
        </w:rPr>
        <w:t>try of Health and Sanitation are:</w:t>
      </w:r>
    </w:p>
    <w:p w:rsidR="00ED318B" w:rsidRPr="00ED318B" w:rsidRDefault="00ED318B" w:rsidP="00ED318B">
      <w:pPr>
        <w:pStyle w:val="ListParagraph"/>
        <w:numPr>
          <w:ilvl w:val="0"/>
          <w:numId w:val="5"/>
        </w:numPr>
        <w:jc w:val="both"/>
        <w:rPr>
          <w:bCs/>
        </w:rPr>
      </w:pPr>
      <w:r w:rsidRPr="00ED318B">
        <w:rPr>
          <w:bCs/>
        </w:rPr>
        <w:t xml:space="preserve">Outcome 1:  </w:t>
      </w:r>
      <w:r w:rsidRPr="00ED318B">
        <w:rPr>
          <w:rFonts w:cs="Arial"/>
        </w:rPr>
        <w:t>Attain universal coverage by distributing on average three LLINs per household to all households in SL during the Child and Maternal Health Week (November 2010).</w:t>
      </w:r>
    </w:p>
    <w:p w:rsidR="00ED318B" w:rsidRPr="00ED318B" w:rsidRDefault="00ED318B" w:rsidP="00ED318B">
      <w:pPr>
        <w:pStyle w:val="ListParagraph"/>
        <w:numPr>
          <w:ilvl w:val="0"/>
          <w:numId w:val="5"/>
        </w:numPr>
        <w:jc w:val="both"/>
        <w:rPr>
          <w:bCs/>
          <w:szCs w:val="22"/>
        </w:rPr>
      </w:pPr>
      <w:r w:rsidRPr="00ED318B">
        <w:rPr>
          <w:bCs/>
          <w:szCs w:val="22"/>
        </w:rPr>
        <w:t xml:space="preserve">Outcome 2: </w:t>
      </w:r>
      <w:r w:rsidRPr="00ED318B">
        <w:rPr>
          <w:rFonts w:cs="Arial"/>
        </w:rPr>
        <w:t xml:space="preserve">Increase community awareness on the usage of LLINs. </w:t>
      </w:r>
    </w:p>
    <w:p w:rsidR="009A5EC3" w:rsidRDefault="009A5EC3" w:rsidP="00F96466">
      <w:pPr>
        <w:jc w:val="both"/>
        <w:rPr>
          <w:rFonts w:ascii="Calibri" w:hAnsi="Calibri" w:cs="Arial"/>
          <w:sz w:val="20"/>
          <w:szCs w:val="20"/>
        </w:rPr>
      </w:pPr>
    </w:p>
    <w:p w:rsidR="00910C6C" w:rsidRDefault="00910C6C" w:rsidP="00F96466">
      <w:pPr>
        <w:jc w:val="both"/>
        <w:rPr>
          <w:rFonts w:ascii="Calibri" w:hAnsi="Calibri" w:cs="Arial"/>
          <w:sz w:val="20"/>
          <w:szCs w:val="20"/>
        </w:rPr>
      </w:pPr>
    </w:p>
    <w:p w:rsidR="00ED318B" w:rsidRDefault="00ED318B" w:rsidP="00F96466">
      <w:pPr>
        <w:jc w:val="both"/>
        <w:rPr>
          <w:rFonts w:ascii="Calibri" w:hAnsi="Calibri" w:cs="Arial"/>
          <w:sz w:val="20"/>
          <w:szCs w:val="20"/>
        </w:rPr>
      </w:pPr>
    </w:p>
    <w:p w:rsidR="00ED318B" w:rsidRDefault="00ED318B" w:rsidP="00F96466">
      <w:pPr>
        <w:jc w:val="both"/>
        <w:rPr>
          <w:rFonts w:ascii="Calibri" w:hAnsi="Calibri" w:cs="Arial"/>
          <w:sz w:val="20"/>
          <w:szCs w:val="20"/>
        </w:rPr>
      </w:pPr>
    </w:p>
    <w:p w:rsidR="00ED318B" w:rsidRDefault="00ED318B" w:rsidP="00F96466">
      <w:pPr>
        <w:jc w:val="both"/>
        <w:rPr>
          <w:rFonts w:ascii="Calibri" w:hAnsi="Calibri" w:cs="Arial"/>
          <w:sz w:val="20"/>
          <w:szCs w:val="20"/>
        </w:rPr>
      </w:pPr>
    </w:p>
    <w:p w:rsidR="00ED318B" w:rsidRDefault="00ED318B" w:rsidP="00F96466">
      <w:pPr>
        <w:jc w:val="both"/>
        <w:rPr>
          <w:rFonts w:ascii="Calibri" w:hAnsi="Calibri" w:cs="Arial"/>
          <w:sz w:val="20"/>
          <w:szCs w:val="20"/>
        </w:rPr>
      </w:pPr>
    </w:p>
    <w:p w:rsidR="00792776" w:rsidRPr="00792776" w:rsidRDefault="00792776" w:rsidP="000B017F">
      <w:pPr>
        <w:spacing w:after="120"/>
        <w:rPr>
          <w:b/>
          <w:u w:val="single"/>
        </w:rPr>
      </w:pPr>
      <w:r w:rsidRPr="00792776">
        <w:rPr>
          <w:u w:val="single"/>
        </w:rPr>
        <w:t>Technical and operational support to malaria vector control interventions – WHO</w:t>
      </w:r>
    </w:p>
    <w:p w:rsidR="00595606" w:rsidRDefault="00595606" w:rsidP="00595606">
      <w:pPr>
        <w:jc w:val="both"/>
      </w:pPr>
      <w:r>
        <w:t xml:space="preserve">Project Objective: </w:t>
      </w:r>
    </w:p>
    <w:p w:rsidR="00595606" w:rsidRPr="00595606" w:rsidRDefault="00595606" w:rsidP="00595606">
      <w:pPr>
        <w:jc w:val="both"/>
      </w:pPr>
      <w:r w:rsidRPr="00595606">
        <w:t>To support the Ministry of Health and Sanitation to ensure delivery of malaria vector control interventions particularly LLINs and indoor residual spraying</w:t>
      </w:r>
      <w:r w:rsidR="005D40AB">
        <w:t xml:space="preserve"> </w:t>
      </w:r>
      <w:r w:rsidRPr="00595606">
        <w:t>(IRS) within the context of integrated vector management and strengthening of capacity for surveillance, monitoring and evaluation of malaria control interventions and their impact</w:t>
      </w:r>
    </w:p>
    <w:p w:rsidR="00595606" w:rsidRPr="00595606" w:rsidRDefault="00595606" w:rsidP="00595606">
      <w:pPr>
        <w:pStyle w:val="ListParagraph"/>
        <w:numPr>
          <w:ilvl w:val="0"/>
          <w:numId w:val="28"/>
        </w:numPr>
        <w:jc w:val="both"/>
      </w:pPr>
      <w:r>
        <w:rPr>
          <w:bCs/>
        </w:rPr>
        <w:t xml:space="preserve">Outcome 1: </w:t>
      </w:r>
      <w:r w:rsidRPr="00595606">
        <w:t>Universal coverage (80% of population at risk of malaria possess LLINS) of LLINs achieved</w:t>
      </w:r>
    </w:p>
    <w:p w:rsidR="00595606" w:rsidRPr="00595606" w:rsidRDefault="00595606" w:rsidP="00595606">
      <w:pPr>
        <w:pStyle w:val="ListParagraph"/>
        <w:numPr>
          <w:ilvl w:val="0"/>
          <w:numId w:val="28"/>
        </w:numPr>
        <w:jc w:val="both"/>
        <w:rPr>
          <w:bCs/>
        </w:rPr>
      </w:pPr>
      <w:r w:rsidRPr="00595606">
        <w:rPr>
          <w:bCs/>
        </w:rPr>
        <w:t xml:space="preserve">Outcome 2:  At least 80% of the population in the targeted areas covered by IRS </w:t>
      </w:r>
    </w:p>
    <w:p w:rsidR="00595606" w:rsidRDefault="00595606" w:rsidP="00595606">
      <w:pPr>
        <w:pStyle w:val="BodyText"/>
        <w:numPr>
          <w:ilvl w:val="0"/>
          <w:numId w:val="28"/>
        </w:numPr>
        <w:jc w:val="both"/>
        <w:rPr>
          <w:rFonts w:ascii="Times New Roman" w:hAnsi="Times New Roman" w:cs="Times New Roman"/>
          <w:sz w:val="24"/>
          <w:szCs w:val="24"/>
        </w:rPr>
      </w:pPr>
      <w:r>
        <w:rPr>
          <w:rFonts w:ascii="Times New Roman" w:hAnsi="Times New Roman" w:cs="Times New Roman"/>
          <w:bCs/>
          <w:sz w:val="24"/>
          <w:szCs w:val="24"/>
        </w:rPr>
        <w:t xml:space="preserve">Outcome 3: </w:t>
      </w:r>
      <w:r w:rsidRPr="00595606">
        <w:rPr>
          <w:rFonts w:ascii="Times New Roman" w:hAnsi="Times New Roman" w:cs="Times New Roman"/>
          <w:sz w:val="24"/>
          <w:szCs w:val="24"/>
        </w:rPr>
        <w:t>Capacity for surveillance, monitoring and evaluation of malaria control interventions built</w:t>
      </w:r>
    </w:p>
    <w:p w:rsidR="008E7F98" w:rsidRPr="00595606" w:rsidRDefault="008E7F98" w:rsidP="008E7F98">
      <w:pPr>
        <w:pStyle w:val="BodyText"/>
        <w:ind w:left="720"/>
        <w:jc w:val="both"/>
        <w:rPr>
          <w:rFonts w:ascii="Times New Roman" w:hAnsi="Times New Roman" w:cs="Times New Roman"/>
          <w:sz w:val="24"/>
          <w:szCs w:val="24"/>
        </w:rPr>
      </w:pPr>
    </w:p>
    <w:p w:rsidR="000D7614" w:rsidRPr="00A15E30" w:rsidRDefault="00595606" w:rsidP="000B017F">
      <w:pPr>
        <w:spacing w:after="120"/>
        <w:rPr>
          <w:u w:val="single"/>
        </w:rPr>
      </w:pPr>
      <w:r w:rsidRPr="00595606">
        <w:rPr>
          <w:u w:val="single"/>
        </w:rPr>
        <w:t>Nutritional Support to People living with HIV and TB – WFP</w:t>
      </w:r>
    </w:p>
    <w:p w:rsidR="00A15E30" w:rsidRDefault="00023E87" w:rsidP="00A15E30">
      <w:pPr>
        <w:pStyle w:val="Header"/>
        <w:tabs>
          <w:tab w:val="clear" w:pos="4320"/>
          <w:tab w:val="clear" w:pos="8640"/>
        </w:tabs>
        <w:rPr>
          <w:bCs/>
          <w:szCs w:val="22"/>
        </w:rPr>
      </w:pPr>
      <w:r>
        <w:rPr>
          <w:bCs/>
          <w:szCs w:val="22"/>
        </w:rPr>
        <w:t>Project Objective:</w:t>
      </w:r>
    </w:p>
    <w:p w:rsidR="00A15E30" w:rsidRDefault="00A15E30" w:rsidP="00A15E30">
      <w:pPr>
        <w:pStyle w:val="Header"/>
        <w:tabs>
          <w:tab w:val="clear" w:pos="4320"/>
          <w:tab w:val="clear" w:pos="8640"/>
        </w:tabs>
        <w:rPr>
          <w:bCs/>
          <w:szCs w:val="22"/>
        </w:rPr>
      </w:pPr>
      <w:r>
        <w:rPr>
          <w:bCs/>
          <w:szCs w:val="22"/>
        </w:rPr>
        <w:t xml:space="preserve">Improve nutrition and health of vulnerable PLHIV and TB patients and their families to ensure they are able to </w:t>
      </w:r>
      <w:r w:rsidR="00023E87">
        <w:rPr>
          <w:bCs/>
          <w:szCs w:val="22"/>
        </w:rPr>
        <w:t>fulfill</w:t>
      </w:r>
      <w:r>
        <w:rPr>
          <w:bCs/>
          <w:szCs w:val="22"/>
        </w:rPr>
        <w:t xml:space="preserve"> their potential as outlined in the national response to HIV/AIDS and the MDGs</w:t>
      </w:r>
      <w:r w:rsidR="009F3978">
        <w:rPr>
          <w:bCs/>
          <w:szCs w:val="22"/>
        </w:rPr>
        <w:t>.</w:t>
      </w:r>
    </w:p>
    <w:p w:rsidR="00A15E30" w:rsidRDefault="00A15E30" w:rsidP="00023E87">
      <w:pPr>
        <w:pStyle w:val="Header"/>
        <w:numPr>
          <w:ilvl w:val="0"/>
          <w:numId w:val="5"/>
        </w:numPr>
        <w:tabs>
          <w:tab w:val="clear" w:pos="4320"/>
          <w:tab w:val="clear" w:pos="8640"/>
        </w:tabs>
        <w:rPr>
          <w:bCs/>
          <w:szCs w:val="22"/>
        </w:rPr>
      </w:pPr>
      <w:r>
        <w:rPr>
          <w:bCs/>
          <w:szCs w:val="22"/>
        </w:rPr>
        <w:t>Outcome 1:  Improved survival of adults and children with HIV after 6 and 12 months of ART</w:t>
      </w:r>
      <w:r w:rsidR="009F3978">
        <w:rPr>
          <w:bCs/>
          <w:szCs w:val="22"/>
        </w:rPr>
        <w:t>.</w:t>
      </w:r>
    </w:p>
    <w:p w:rsidR="00A15E30" w:rsidRDefault="00A15E30" w:rsidP="00023E87">
      <w:pPr>
        <w:pStyle w:val="ListParagraph"/>
        <w:numPr>
          <w:ilvl w:val="0"/>
          <w:numId w:val="5"/>
        </w:numPr>
        <w:jc w:val="both"/>
      </w:pPr>
      <w:r w:rsidRPr="00023E87">
        <w:rPr>
          <w:bCs/>
          <w:szCs w:val="22"/>
        </w:rPr>
        <w:t>Outcome 2:  Improved success of TB treatment for targeted cases</w:t>
      </w:r>
      <w:r w:rsidR="009F3978">
        <w:rPr>
          <w:bCs/>
          <w:szCs w:val="22"/>
        </w:rPr>
        <w:t>.</w:t>
      </w:r>
    </w:p>
    <w:p w:rsidR="00910C6C" w:rsidRDefault="00910C6C" w:rsidP="000B017F">
      <w:pPr>
        <w:pStyle w:val="NoSpacing"/>
        <w:ind w:left="720"/>
        <w:rPr>
          <w:rFonts w:ascii="Times New Roman" w:hAnsi="Times New Roman"/>
          <w:b/>
          <w:sz w:val="24"/>
          <w:szCs w:val="24"/>
        </w:rPr>
      </w:pPr>
    </w:p>
    <w:p w:rsidR="000B017F" w:rsidRPr="000B017F" w:rsidRDefault="000B017F" w:rsidP="000B017F">
      <w:pPr>
        <w:pStyle w:val="NoSpacing"/>
        <w:ind w:left="720"/>
        <w:rPr>
          <w:rFonts w:ascii="Times New Roman" w:hAnsi="Times New Roman"/>
          <w:b/>
          <w:sz w:val="24"/>
          <w:szCs w:val="24"/>
        </w:rPr>
      </w:pPr>
    </w:p>
    <w:p w:rsidR="00373BFB" w:rsidRDefault="00373BFB" w:rsidP="000B017F">
      <w:pPr>
        <w:pStyle w:val="NoSpacing"/>
        <w:numPr>
          <w:ilvl w:val="0"/>
          <w:numId w:val="42"/>
        </w:numPr>
        <w:rPr>
          <w:rFonts w:ascii="Times New Roman" w:hAnsi="Times New Roman"/>
          <w:b/>
          <w:sz w:val="24"/>
          <w:szCs w:val="24"/>
        </w:rPr>
      </w:pPr>
      <w:r w:rsidRPr="000B017F">
        <w:rPr>
          <w:rFonts w:ascii="Times New Roman" w:hAnsi="Times New Roman"/>
          <w:b/>
          <w:sz w:val="24"/>
          <w:szCs w:val="24"/>
        </w:rPr>
        <w:t xml:space="preserve">Resources </w:t>
      </w:r>
    </w:p>
    <w:p w:rsidR="000B017F" w:rsidRPr="000B017F" w:rsidRDefault="000B017F" w:rsidP="000B017F">
      <w:pPr>
        <w:pStyle w:val="NoSpacing"/>
        <w:ind w:left="720"/>
        <w:rPr>
          <w:rFonts w:ascii="Times New Roman" w:hAnsi="Times New Roman"/>
          <w:b/>
          <w:sz w:val="24"/>
          <w:szCs w:val="24"/>
        </w:rPr>
      </w:pPr>
    </w:p>
    <w:p w:rsidR="00373BFB" w:rsidRDefault="00373BFB" w:rsidP="00373BFB">
      <w:pPr>
        <w:jc w:val="both"/>
        <w:rPr>
          <w:rFonts w:ascii="Calibri" w:hAnsi="Calibri"/>
          <w:color w:val="000000"/>
          <w:sz w:val="22"/>
          <w:szCs w:val="22"/>
        </w:rPr>
      </w:pPr>
      <w:r w:rsidRPr="006B7701">
        <w:rPr>
          <w:spacing w:val="-3"/>
        </w:rPr>
        <w:t>All funding allocated to support th</w:t>
      </w:r>
      <w:r>
        <w:rPr>
          <w:spacing w:val="-3"/>
        </w:rPr>
        <w:t>e</w:t>
      </w:r>
      <w:r w:rsidRPr="006B7701">
        <w:rPr>
          <w:spacing w:val="-3"/>
        </w:rPr>
        <w:t xml:space="preserve"> project</w:t>
      </w:r>
      <w:r>
        <w:rPr>
          <w:spacing w:val="-3"/>
        </w:rPr>
        <w:t>s outlined above</w:t>
      </w:r>
      <w:r w:rsidRPr="006B7701">
        <w:rPr>
          <w:spacing w:val="-3"/>
        </w:rPr>
        <w:t xml:space="preserve"> was sourced </w:t>
      </w:r>
      <w:r>
        <w:rPr>
          <w:spacing w:val="-3"/>
        </w:rPr>
        <w:t>from the Delivering as One</w:t>
      </w:r>
      <w:r w:rsidRPr="006B7701">
        <w:rPr>
          <w:spacing w:val="-3"/>
        </w:rPr>
        <w:t xml:space="preserve"> fund</w:t>
      </w:r>
      <w:r>
        <w:rPr>
          <w:spacing w:val="-3"/>
        </w:rPr>
        <w:t xml:space="preserve"> through the Sierra Leone-MDTF</w:t>
      </w:r>
      <w:r w:rsidRPr="006B7701">
        <w:rPr>
          <w:spacing w:val="-3"/>
        </w:rPr>
        <w:t xml:space="preserve">. The Joint Vision Programme </w:t>
      </w:r>
      <w:r>
        <w:rPr>
          <w:spacing w:val="-3"/>
        </w:rPr>
        <w:t>6</w:t>
      </w:r>
      <w:r w:rsidRPr="006B7701">
        <w:rPr>
          <w:spacing w:val="-3"/>
        </w:rPr>
        <w:t xml:space="preserve"> </w:t>
      </w:r>
      <w:r>
        <w:rPr>
          <w:spacing w:val="-3"/>
        </w:rPr>
        <w:t>HIV/AIDS</w:t>
      </w:r>
      <w:r w:rsidR="008B480A">
        <w:rPr>
          <w:spacing w:val="-3"/>
        </w:rPr>
        <w:t xml:space="preserve"> &amp;</w:t>
      </w:r>
      <w:r>
        <w:rPr>
          <w:spacing w:val="-3"/>
        </w:rPr>
        <w:t xml:space="preserve"> Malaria</w:t>
      </w:r>
      <w:r w:rsidRPr="007507A9">
        <w:rPr>
          <w:spacing w:val="-3"/>
        </w:rPr>
        <w:t xml:space="preserve"> received a total of US$</w:t>
      </w:r>
      <w:r>
        <w:t>1,925,352</w:t>
      </w:r>
      <w:r w:rsidR="008B480A">
        <w:t xml:space="preserve">. </w:t>
      </w:r>
    </w:p>
    <w:p w:rsidR="00373BFB" w:rsidRDefault="00373BFB" w:rsidP="00F96466">
      <w:pPr>
        <w:jc w:val="both"/>
      </w:pPr>
    </w:p>
    <w:p w:rsidR="008B480A" w:rsidRPr="000B017F" w:rsidRDefault="008B480A" w:rsidP="000B017F">
      <w:pPr>
        <w:spacing w:after="120"/>
        <w:rPr>
          <w:u w:val="single"/>
        </w:rPr>
      </w:pPr>
      <w:r w:rsidRPr="000D7614">
        <w:rPr>
          <w:u w:val="single"/>
        </w:rPr>
        <w:t>Malaria Control, LLINs Universal Coverage – UNICEF</w:t>
      </w:r>
    </w:p>
    <w:p w:rsidR="0033656B" w:rsidRPr="0033656B" w:rsidRDefault="0033656B" w:rsidP="0033656B">
      <w:pPr>
        <w:spacing w:after="120"/>
        <w:jc w:val="both"/>
        <w:rPr>
          <w:i/>
          <w:spacing w:val="-3"/>
        </w:rPr>
      </w:pPr>
      <w:r w:rsidRPr="0033656B">
        <w:rPr>
          <w:i/>
          <w:spacing w:val="-3"/>
        </w:rPr>
        <w:t>Financial Resources</w:t>
      </w:r>
    </w:p>
    <w:p w:rsidR="008B480A" w:rsidRPr="008B480A" w:rsidRDefault="008B480A" w:rsidP="008B480A">
      <w:pPr>
        <w:pStyle w:val="Heading2"/>
        <w:jc w:val="both"/>
        <w:rPr>
          <w:b w:val="0"/>
          <w:sz w:val="24"/>
        </w:rPr>
      </w:pPr>
      <w:r w:rsidRPr="008B480A">
        <w:rPr>
          <w:b w:val="0"/>
          <w:sz w:val="24"/>
        </w:rPr>
        <w:t xml:space="preserve">The Malaria Control project supported through MDTF received a total of </w:t>
      </w:r>
      <w:r w:rsidRPr="008B480A">
        <w:rPr>
          <w:b w:val="0"/>
          <w:color w:val="000000"/>
          <w:sz w:val="24"/>
        </w:rPr>
        <w:t>$431,442</w:t>
      </w:r>
      <w:r w:rsidRPr="008B480A">
        <w:rPr>
          <w:b w:val="0"/>
          <w:sz w:val="24"/>
        </w:rPr>
        <w:t xml:space="preserve"> primarily the funds were used to support the national campaign to distribute 3.2 million insecticide bed nets to an estimated 1 million household</w:t>
      </w:r>
      <w:r w:rsidR="009F3978">
        <w:rPr>
          <w:b w:val="0"/>
          <w:sz w:val="24"/>
        </w:rPr>
        <w:t>s</w:t>
      </w:r>
      <w:r w:rsidRPr="008B480A">
        <w:rPr>
          <w:b w:val="0"/>
          <w:sz w:val="24"/>
        </w:rPr>
        <w:t xml:space="preserve">. The MDTF support complemented the broader campaign cost which is estimated at </w:t>
      </w:r>
      <w:r>
        <w:rPr>
          <w:b w:val="0"/>
          <w:sz w:val="24"/>
        </w:rPr>
        <w:t>$</w:t>
      </w:r>
      <w:r w:rsidRPr="008B480A">
        <w:rPr>
          <w:b w:val="0"/>
          <w:sz w:val="24"/>
        </w:rPr>
        <w:t>21</w:t>
      </w:r>
      <w:r>
        <w:rPr>
          <w:b w:val="0"/>
          <w:sz w:val="24"/>
        </w:rPr>
        <w:t>,</w:t>
      </w:r>
      <w:r w:rsidRPr="008B480A">
        <w:rPr>
          <w:b w:val="0"/>
          <w:sz w:val="24"/>
        </w:rPr>
        <w:t xml:space="preserve">390,000 </w:t>
      </w:r>
    </w:p>
    <w:p w:rsidR="008B480A" w:rsidRDefault="008B480A" w:rsidP="008B480A">
      <w:pPr>
        <w:pStyle w:val="BodyText"/>
        <w:jc w:val="both"/>
        <w:rPr>
          <w:rFonts w:ascii="Times New Roman" w:hAnsi="Times New Roman" w:cs="Times New Roman"/>
          <w:sz w:val="24"/>
          <w:szCs w:val="24"/>
        </w:rPr>
      </w:pPr>
    </w:p>
    <w:p w:rsidR="008B480A" w:rsidRPr="008C2F8C" w:rsidRDefault="008B480A" w:rsidP="008C2F8C">
      <w:pPr>
        <w:pStyle w:val="BodyText"/>
        <w:jc w:val="both"/>
        <w:rPr>
          <w:rFonts w:ascii="Times New Roman" w:hAnsi="Times New Roman" w:cs="Times New Roman"/>
          <w:sz w:val="24"/>
          <w:szCs w:val="24"/>
        </w:rPr>
      </w:pPr>
      <w:r w:rsidRPr="008C2F8C">
        <w:rPr>
          <w:rFonts w:ascii="Times New Roman" w:hAnsi="Times New Roman" w:cs="Times New Roman"/>
          <w:sz w:val="24"/>
          <w:szCs w:val="24"/>
        </w:rPr>
        <w:t>The funds received from MDTF were allocated to support logistic and social mobilization activities</w:t>
      </w:r>
      <w:r w:rsidR="008C2F8C" w:rsidRPr="008C2F8C">
        <w:rPr>
          <w:rFonts w:ascii="Times New Roman" w:hAnsi="Times New Roman" w:cs="Times New Roman"/>
          <w:sz w:val="24"/>
          <w:szCs w:val="24"/>
        </w:rPr>
        <w:t xml:space="preserve">, more specifically </w:t>
      </w:r>
      <w:r w:rsidRPr="008C2F8C">
        <w:rPr>
          <w:rFonts w:ascii="Times New Roman" w:hAnsi="Times New Roman" w:cs="Times New Roman"/>
          <w:sz w:val="24"/>
          <w:szCs w:val="24"/>
        </w:rPr>
        <w:t>logistic</w:t>
      </w:r>
      <w:r w:rsidR="008C2F8C" w:rsidRPr="008C2F8C">
        <w:rPr>
          <w:rFonts w:ascii="Times New Roman" w:hAnsi="Times New Roman" w:cs="Times New Roman"/>
          <w:sz w:val="24"/>
          <w:szCs w:val="24"/>
        </w:rPr>
        <w:t>al</w:t>
      </w:r>
      <w:r w:rsidR="009F3978">
        <w:rPr>
          <w:rFonts w:ascii="Times New Roman" w:hAnsi="Times New Roman" w:cs="Times New Roman"/>
          <w:sz w:val="24"/>
          <w:szCs w:val="24"/>
        </w:rPr>
        <w:t xml:space="preserve"> support consisted of</w:t>
      </w:r>
      <w:r w:rsidRPr="008C2F8C">
        <w:rPr>
          <w:rFonts w:ascii="Times New Roman" w:hAnsi="Times New Roman" w:cs="Times New Roman"/>
          <w:sz w:val="24"/>
          <w:szCs w:val="24"/>
        </w:rPr>
        <w:t xml:space="preserve"> supporting port clearance and transport of 2,780,000 LLINs procured by UNICEF to 12 districts, excluding Kono and Kailahun district where the transport and di</w:t>
      </w:r>
      <w:r w:rsidR="008C2F8C">
        <w:rPr>
          <w:rFonts w:ascii="Times New Roman" w:hAnsi="Times New Roman" w:cs="Times New Roman"/>
          <w:sz w:val="24"/>
          <w:szCs w:val="24"/>
        </w:rPr>
        <w:t>st</w:t>
      </w:r>
      <w:r w:rsidR="009F3978">
        <w:rPr>
          <w:rFonts w:ascii="Times New Roman" w:hAnsi="Times New Roman" w:cs="Times New Roman"/>
          <w:sz w:val="24"/>
          <w:szCs w:val="24"/>
        </w:rPr>
        <w:t xml:space="preserve">ribution was supported by </w:t>
      </w:r>
      <w:r w:rsidR="008C2F8C">
        <w:rPr>
          <w:rFonts w:ascii="Times New Roman" w:hAnsi="Times New Roman" w:cs="Times New Roman"/>
          <w:sz w:val="24"/>
          <w:szCs w:val="24"/>
        </w:rPr>
        <w:t>Internation</w:t>
      </w:r>
      <w:r w:rsidR="009F3978">
        <w:rPr>
          <w:rFonts w:ascii="Times New Roman" w:hAnsi="Times New Roman" w:cs="Times New Roman"/>
          <w:sz w:val="24"/>
          <w:szCs w:val="24"/>
        </w:rPr>
        <w:t>al Federation of the Red Cross</w:t>
      </w:r>
      <w:r w:rsidR="009F3978" w:rsidRPr="009F3978">
        <w:rPr>
          <w:rFonts w:ascii="Times New Roman" w:hAnsi="Times New Roman" w:cs="Times New Roman"/>
          <w:sz w:val="24"/>
          <w:szCs w:val="24"/>
        </w:rPr>
        <w:t xml:space="preserve"> </w:t>
      </w:r>
      <w:r w:rsidR="009F3978">
        <w:rPr>
          <w:rFonts w:ascii="Times New Roman" w:hAnsi="Times New Roman" w:cs="Times New Roman"/>
          <w:sz w:val="24"/>
          <w:szCs w:val="24"/>
        </w:rPr>
        <w:t>(IFRC).</w:t>
      </w:r>
    </w:p>
    <w:p w:rsidR="008C2F8C" w:rsidRPr="0087011F" w:rsidRDefault="008C2F8C" w:rsidP="008C2F8C">
      <w:pPr>
        <w:pStyle w:val="BodyText"/>
        <w:jc w:val="both"/>
        <w:rPr>
          <w:rFonts w:ascii="Times New Roman" w:hAnsi="Times New Roman" w:cs="Times New Roman"/>
          <w:sz w:val="24"/>
          <w:szCs w:val="24"/>
        </w:rPr>
      </w:pPr>
    </w:p>
    <w:p w:rsidR="008B480A" w:rsidRPr="0087011F" w:rsidRDefault="008B480A" w:rsidP="008C2F8C">
      <w:pPr>
        <w:pStyle w:val="BodyText"/>
        <w:jc w:val="both"/>
        <w:rPr>
          <w:rFonts w:ascii="Times New Roman" w:hAnsi="Times New Roman" w:cs="Times New Roman"/>
          <w:sz w:val="24"/>
          <w:szCs w:val="24"/>
        </w:rPr>
      </w:pPr>
      <w:r w:rsidRPr="0087011F">
        <w:rPr>
          <w:rFonts w:ascii="Times New Roman" w:hAnsi="Times New Roman" w:cs="Times New Roman"/>
          <w:sz w:val="24"/>
          <w:szCs w:val="24"/>
        </w:rPr>
        <w:t xml:space="preserve">The funds also supported the implementation of social mobilization activities during the malaria campaign in order to promote uptake of LLINs and promote use and community ownership for malaria prevention. </w:t>
      </w:r>
    </w:p>
    <w:p w:rsidR="008B480A" w:rsidRPr="0087011F" w:rsidRDefault="008B480A" w:rsidP="008B480A">
      <w:pPr>
        <w:pStyle w:val="BodyText"/>
        <w:numPr>
          <w:ilvl w:val="0"/>
          <w:numId w:val="11"/>
        </w:numPr>
        <w:jc w:val="both"/>
        <w:rPr>
          <w:rFonts w:ascii="Times New Roman" w:hAnsi="Times New Roman" w:cs="Times New Roman"/>
          <w:sz w:val="24"/>
          <w:szCs w:val="24"/>
        </w:rPr>
      </w:pPr>
      <w:r w:rsidRPr="0087011F">
        <w:rPr>
          <w:rFonts w:ascii="Times New Roman" w:hAnsi="Times New Roman" w:cs="Times New Roman"/>
          <w:sz w:val="24"/>
          <w:szCs w:val="24"/>
        </w:rPr>
        <w:t>The budget was disbursed in time as planned, but there was a need to extend the period for the use of the funds</w:t>
      </w:r>
      <w:r w:rsidR="009F3978">
        <w:rPr>
          <w:rFonts w:ascii="Times New Roman" w:hAnsi="Times New Roman" w:cs="Times New Roman"/>
          <w:sz w:val="24"/>
          <w:szCs w:val="24"/>
        </w:rPr>
        <w:t xml:space="preserve"> up to March 2011.</w:t>
      </w:r>
    </w:p>
    <w:p w:rsidR="008B480A" w:rsidRPr="0087011F" w:rsidRDefault="008B480A" w:rsidP="008B480A">
      <w:pPr>
        <w:pStyle w:val="BodyText"/>
        <w:ind w:left="720"/>
        <w:jc w:val="both"/>
        <w:rPr>
          <w:rFonts w:ascii="Times New Roman" w:hAnsi="Times New Roman" w:cs="Times New Roman"/>
          <w:sz w:val="24"/>
          <w:szCs w:val="24"/>
        </w:rPr>
      </w:pPr>
    </w:p>
    <w:p w:rsidR="008B480A" w:rsidRPr="0033656B" w:rsidRDefault="0033656B" w:rsidP="0033656B">
      <w:pPr>
        <w:spacing w:after="120"/>
        <w:jc w:val="both"/>
        <w:rPr>
          <w:i/>
          <w:spacing w:val="-3"/>
        </w:rPr>
      </w:pPr>
      <w:r w:rsidRPr="0033656B">
        <w:rPr>
          <w:i/>
          <w:spacing w:val="-3"/>
        </w:rPr>
        <w:lastRenderedPageBreak/>
        <w:t>Human Resources</w:t>
      </w:r>
    </w:p>
    <w:p w:rsidR="008B480A" w:rsidRPr="0087011F" w:rsidRDefault="008B480A" w:rsidP="008B480A">
      <w:pPr>
        <w:pStyle w:val="BodyText"/>
        <w:numPr>
          <w:ilvl w:val="0"/>
          <w:numId w:val="12"/>
        </w:numPr>
        <w:jc w:val="both"/>
        <w:rPr>
          <w:rFonts w:ascii="Times New Roman" w:hAnsi="Times New Roman" w:cs="Times New Roman"/>
          <w:sz w:val="24"/>
          <w:szCs w:val="24"/>
        </w:rPr>
      </w:pPr>
      <w:r w:rsidRPr="0087011F">
        <w:rPr>
          <w:rFonts w:ascii="Times New Roman" w:hAnsi="Times New Roman" w:cs="Times New Roman"/>
          <w:sz w:val="24"/>
          <w:szCs w:val="24"/>
        </w:rPr>
        <w:t>The project was implemented through partnership with the M</w:t>
      </w:r>
      <w:r w:rsidR="0068622F">
        <w:rPr>
          <w:rFonts w:ascii="Times New Roman" w:hAnsi="Times New Roman" w:cs="Times New Roman"/>
          <w:sz w:val="24"/>
          <w:szCs w:val="24"/>
        </w:rPr>
        <w:t>inistry of Health and Sanitation</w:t>
      </w:r>
      <w:r w:rsidRPr="0087011F">
        <w:rPr>
          <w:rFonts w:ascii="Times New Roman" w:hAnsi="Times New Roman" w:cs="Times New Roman"/>
          <w:sz w:val="24"/>
          <w:szCs w:val="24"/>
        </w:rPr>
        <w:t>, WHO and the D</w:t>
      </w:r>
      <w:r w:rsidR="0068622F">
        <w:rPr>
          <w:rFonts w:ascii="Times New Roman" w:hAnsi="Times New Roman" w:cs="Times New Roman"/>
          <w:sz w:val="24"/>
          <w:szCs w:val="24"/>
        </w:rPr>
        <w:t>istrict Health Management Teams</w:t>
      </w:r>
      <w:r w:rsidRPr="0087011F">
        <w:rPr>
          <w:rFonts w:ascii="Times New Roman" w:hAnsi="Times New Roman" w:cs="Times New Roman"/>
          <w:sz w:val="24"/>
          <w:szCs w:val="24"/>
        </w:rPr>
        <w:t xml:space="preserve"> and many other partners at national and district levels. </w:t>
      </w:r>
    </w:p>
    <w:p w:rsidR="00792776" w:rsidRPr="00EB4987" w:rsidRDefault="008B480A" w:rsidP="0068622F">
      <w:pPr>
        <w:pStyle w:val="BodyText"/>
        <w:numPr>
          <w:ilvl w:val="0"/>
          <w:numId w:val="12"/>
        </w:numPr>
        <w:jc w:val="both"/>
        <w:rPr>
          <w:rFonts w:ascii="Times New Roman" w:hAnsi="Times New Roman" w:cs="Times New Roman"/>
          <w:sz w:val="24"/>
          <w:szCs w:val="24"/>
        </w:rPr>
      </w:pPr>
      <w:r w:rsidRPr="0087011F">
        <w:rPr>
          <w:rFonts w:ascii="Times New Roman" w:hAnsi="Times New Roman" w:cs="Times New Roman"/>
          <w:sz w:val="24"/>
          <w:szCs w:val="24"/>
        </w:rPr>
        <w:t>The funds were not used to directly hire either national or international</w:t>
      </w:r>
      <w:r w:rsidR="0068622F">
        <w:rPr>
          <w:rFonts w:ascii="Times New Roman" w:hAnsi="Times New Roman" w:cs="Times New Roman"/>
          <w:sz w:val="24"/>
          <w:szCs w:val="24"/>
        </w:rPr>
        <w:t xml:space="preserve"> staff</w:t>
      </w:r>
      <w:r w:rsidRPr="0087011F">
        <w:rPr>
          <w:rFonts w:ascii="Times New Roman" w:hAnsi="Times New Roman" w:cs="Times New Roman"/>
          <w:sz w:val="24"/>
          <w:szCs w:val="24"/>
        </w:rPr>
        <w:t>, but supported paying for per</w:t>
      </w:r>
      <w:r w:rsidR="0068622F">
        <w:rPr>
          <w:rFonts w:ascii="Times New Roman" w:hAnsi="Times New Roman" w:cs="Times New Roman"/>
          <w:sz w:val="24"/>
          <w:szCs w:val="24"/>
        </w:rPr>
        <w:t>-</w:t>
      </w:r>
      <w:r w:rsidRPr="0087011F">
        <w:rPr>
          <w:rFonts w:ascii="Times New Roman" w:hAnsi="Times New Roman" w:cs="Times New Roman"/>
          <w:sz w:val="24"/>
          <w:szCs w:val="24"/>
        </w:rPr>
        <w:t>diems and transport of implementers</w:t>
      </w:r>
      <w:r w:rsidR="009F3978">
        <w:rPr>
          <w:rFonts w:ascii="Times New Roman" w:hAnsi="Times New Roman" w:cs="Times New Roman"/>
          <w:sz w:val="24"/>
          <w:szCs w:val="24"/>
        </w:rPr>
        <w:t>.</w:t>
      </w:r>
      <w:r w:rsidRPr="0087011F">
        <w:rPr>
          <w:rFonts w:ascii="Times New Roman" w:hAnsi="Times New Roman" w:cs="Times New Roman"/>
          <w:sz w:val="24"/>
          <w:szCs w:val="24"/>
        </w:rPr>
        <w:t xml:space="preserve"> </w:t>
      </w:r>
    </w:p>
    <w:p w:rsidR="0033656B" w:rsidRDefault="0033656B" w:rsidP="0068622F">
      <w:pPr>
        <w:rPr>
          <w:u w:val="single"/>
        </w:rPr>
      </w:pPr>
    </w:p>
    <w:p w:rsidR="008F6678" w:rsidRPr="00792776" w:rsidRDefault="00792776" w:rsidP="0033656B">
      <w:pPr>
        <w:spacing w:after="120"/>
        <w:rPr>
          <w:b/>
          <w:u w:val="single"/>
        </w:rPr>
      </w:pPr>
      <w:r w:rsidRPr="00792776">
        <w:rPr>
          <w:u w:val="single"/>
        </w:rPr>
        <w:t>Technical and operational support to malaria vector control interventions – WHO</w:t>
      </w:r>
    </w:p>
    <w:p w:rsidR="0033656B" w:rsidRPr="0033656B" w:rsidRDefault="0033656B" w:rsidP="0033656B">
      <w:pPr>
        <w:spacing w:after="120"/>
        <w:jc w:val="both"/>
        <w:rPr>
          <w:i/>
          <w:spacing w:val="-3"/>
        </w:rPr>
      </w:pPr>
      <w:r w:rsidRPr="0033656B">
        <w:rPr>
          <w:i/>
          <w:spacing w:val="-3"/>
        </w:rPr>
        <w:t>Financial Resources</w:t>
      </w:r>
    </w:p>
    <w:p w:rsidR="00814E67" w:rsidRDefault="00814E67" w:rsidP="00814E67">
      <w:pPr>
        <w:jc w:val="both"/>
      </w:pPr>
      <w:r w:rsidRPr="00FF3445">
        <w:t xml:space="preserve">The </w:t>
      </w:r>
      <w:r>
        <w:t xml:space="preserve">malaria vector control interventions within the context of the </w:t>
      </w:r>
      <w:r w:rsidRPr="00FF3445">
        <w:t xml:space="preserve">Integrated Vector Management Policy and Plan </w:t>
      </w:r>
      <w:r>
        <w:t>were</w:t>
      </w:r>
      <w:r w:rsidRPr="00FF3445">
        <w:t xml:space="preserve"> supported through MDTF received a total of </w:t>
      </w:r>
      <w:r w:rsidRPr="00FF3445">
        <w:rPr>
          <w:color w:val="000000"/>
        </w:rPr>
        <w:t>$841,664</w:t>
      </w:r>
      <w:r>
        <w:rPr>
          <w:color w:val="000000"/>
        </w:rPr>
        <w:t xml:space="preserve">. </w:t>
      </w:r>
      <w:r w:rsidRPr="00FF3445">
        <w:rPr>
          <w:color w:val="000000"/>
        </w:rPr>
        <w:t xml:space="preserve"> </w:t>
      </w:r>
      <w:r>
        <w:t>P</w:t>
      </w:r>
      <w:r w:rsidRPr="00FF3445">
        <w:t>rimarily</w:t>
      </w:r>
      <w:r>
        <w:t>,</w:t>
      </w:r>
      <w:r w:rsidRPr="00FF3445">
        <w:t xml:space="preserve"> the funds were used for procurement of supplies</w:t>
      </w:r>
      <w:r>
        <w:t xml:space="preserve"> and equipment </w:t>
      </w:r>
      <w:r w:rsidRPr="00FF3445">
        <w:t>for indoor residual spraying (IRS)</w:t>
      </w:r>
      <w:r>
        <w:t xml:space="preserve"> and the recruitment of an international M&amp; E officer to build the monitoring and evaluation capacity of the National Malaria control programme.</w:t>
      </w:r>
      <w:r w:rsidRPr="00FF3445">
        <w:t xml:space="preserve"> WEFCO </w:t>
      </w:r>
      <w:r>
        <w:t xml:space="preserve">from </w:t>
      </w:r>
      <w:r w:rsidRPr="00FF3445">
        <w:t>South Africa was contracted to do procurement of equipment and supplies</w:t>
      </w:r>
      <w:r>
        <w:t>, (including insecticide, spray</w:t>
      </w:r>
      <w:r w:rsidRPr="00830202">
        <w:rPr>
          <w:bCs/>
        </w:rPr>
        <w:t xml:space="preserve"> equipment,</w:t>
      </w:r>
      <w:r w:rsidRPr="00830202">
        <w:t xml:space="preserve"> PPE</w:t>
      </w:r>
      <w:r w:rsidRPr="00830202">
        <w:rPr>
          <w:bCs/>
        </w:rPr>
        <w:t xml:space="preserve"> and transport vehicles purchased in line </w:t>
      </w:r>
      <w:r>
        <w:rPr>
          <w:bCs/>
        </w:rPr>
        <w:t xml:space="preserve">with WHO procurement procedures) </w:t>
      </w:r>
    </w:p>
    <w:p w:rsidR="00EA00BC" w:rsidRPr="00814E67" w:rsidRDefault="00EA00BC" w:rsidP="00F96466">
      <w:pPr>
        <w:jc w:val="both"/>
        <w:rPr>
          <w:sz w:val="16"/>
          <w:szCs w:val="16"/>
        </w:rPr>
      </w:pPr>
    </w:p>
    <w:p w:rsidR="00686ECE" w:rsidRPr="0033656B" w:rsidRDefault="008E7F98" w:rsidP="0033656B">
      <w:pPr>
        <w:spacing w:after="120"/>
        <w:jc w:val="both"/>
        <w:rPr>
          <w:i/>
          <w:spacing w:val="-3"/>
        </w:rPr>
      </w:pPr>
      <w:r>
        <w:rPr>
          <w:i/>
          <w:spacing w:val="-3"/>
        </w:rPr>
        <w:t>Human Resources</w:t>
      </w:r>
    </w:p>
    <w:p w:rsidR="00686ECE" w:rsidRPr="00686ECE" w:rsidRDefault="00FF3445" w:rsidP="00686ECE">
      <w:pPr>
        <w:pStyle w:val="BodyText"/>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The project was implemented with support from </w:t>
      </w:r>
      <w:r w:rsidR="00686ECE" w:rsidRPr="00686ECE">
        <w:rPr>
          <w:rFonts w:ascii="Times New Roman" w:hAnsi="Times New Roman" w:cs="Times New Roman"/>
          <w:sz w:val="24"/>
          <w:szCs w:val="24"/>
        </w:rPr>
        <w:t>F</w:t>
      </w:r>
      <w:r>
        <w:rPr>
          <w:rFonts w:ascii="Times New Roman" w:hAnsi="Times New Roman" w:cs="Times New Roman"/>
          <w:sz w:val="24"/>
          <w:szCs w:val="24"/>
        </w:rPr>
        <w:t>ive</w:t>
      </w:r>
      <w:r w:rsidR="00686ECE" w:rsidRPr="00686ECE">
        <w:rPr>
          <w:rFonts w:ascii="Times New Roman" w:hAnsi="Times New Roman" w:cs="Times New Roman"/>
          <w:sz w:val="24"/>
          <w:szCs w:val="24"/>
        </w:rPr>
        <w:t xml:space="preserve"> (5) National Professional officers </w:t>
      </w:r>
      <w:r>
        <w:rPr>
          <w:rFonts w:ascii="Times New Roman" w:hAnsi="Times New Roman" w:cs="Times New Roman"/>
          <w:sz w:val="24"/>
          <w:szCs w:val="24"/>
        </w:rPr>
        <w:t xml:space="preserve">each with a designated responsibility including a) malaria and HIV/AIDS (ATM); b) </w:t>
      </w:r>
      <w:r w:rsidR="00686ECE" w:rsidRPr="00686ECE">
        <w:rPr>
          <w:rFonts w:ascii="Times New Roman" w:hAnsi="Times New Roman" w:cs="Times New Roman"/>
          <w:sz w:val="24"/>
          <w:szCs w:val="24"/>
        </w:rPr>
        <w:t>Protection of the human environment (PHE);</w:t>
      </w:r>
      <w:r>
        <w:rPr>
          <w:rFonts w:ascii="Times New Roman" w:hAnsi="Times New Roman" w:cs="Times New Roman"/>
          <w:sz w:val="24"/>
          <w:szCs w:val="24"/>
        </w:rPr>
        <w:t xml:space="preserve"> c)</w:t>
      </w:r>
      <w:r w:rsidR="00686ECE" w:rsidRPr="00686ECE">
        <w:rPr>
          <w:rFonts w:ascii="Times New Roman" w:hAnsi="Times New Roman" w:cs="Times New Roman"/>
          <w:sz w:val="24"/>
          <w:szCs w:val="24"/>
        </w:rPr>
        <w:t xml:space="preserve"> </w:t>
      </w:r>
      <w:r>
        <w:rPr>
          <w:rFonts w:ascii="Times New Roman" w:hAnsi="Times New Roman" w:cs="Times New Roman"/>
          <w:sz w:val="24"/>
          <w:szCs w:val="24"/>
        </w:rPr>
        <w:t>fina</w:t>
      </w:r>
      <w:r w:rsidR="009F13FE">
        <w:rPr>
          <w:rFonts w:ascii="Times New Roman" w:hAnsi="Times New Roman" w:cs="Times New Roman"/>
          <w:sz w:val="24"/>
          <w:szCs w:val="24"/>
        </w:rPr>
        <w:t>nce; d) procurement; e) storage.</w:t>
      </w:r>
    </w:p>
    <w:p w:rsidR="0068622F" w:rsidRDefault="00FF3445" w:rsidP="00F96466">
      <w:pPr>
        <w:pStyle w:val="BodyText"/>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Also </w:t>
      </w:r>
      <w:r w:rsidR="009F13FE">
        <w:rPr>
          <w:rFonts w:ascii="Times New Roman" w:hAnsi="Times New Roman" w:cs="Times New Roman"/>
          <w:sz w:val="24"/>
          <w:szCs w:val="24"/>
        </w:rPr>
        <w:t>in support of the project were</w:t>
      </w:r>
      <w:r>
        <w:rPr>
          <w:rFonts w:ascii="Times New Roman" w:hAnsi="Times New Roman" w:cs="Times New Roman"/>
          <w:sz w:val="24"/>
          <w:szCs w:val="24"/>
        </w:rPr>
        <w:t xml:space="preserve"> 5 International Staff including a)</w:t>
      </w:r>
      <w:r w:rsidR="00686ECE" w:rsidRPr="00686ECE">
        <w:rPr>
          <w:rFonts w:ascii="Times New Roman" w:hAnsi="Times New Roman" w:cs="Times New Roman"/>
          <w:sz w:val="24"/>
          <w:szCs w:val="24"/>
        </w:rPr>
        <w:t xml:space="preserve"> </w:t>
      </w:r>
      <w:r>
        <w:rPr>
          <w:rFonts w:ascii="Times New Roman" w:hAnsi="Times New Roman" w:cs="Times New Roman"/>
          <w:sz w:val="24"/>
          <w:szCs w:val="24"/>
        </w:rPr>
        <w:t>An M&amp;E officer; b)</w:t>
      </w:r>
      <w:r w:rsidR="00686ECE" w:rsidRPr="00686ECE">
        <w:rPr>
          <w:rFonts w:ascii="Times New Roman" w:hAnsi="Times New Roman" w:cs="Times New Roman"/>
          <w:sz w:val="24"/>
          <w:szCs w:val="24"/>
        </w:rPr>
        <w:t xml:space="preserve"> WHO R</w:t>
      </w:r>
      <w:r>
        <w:rPr>
          <w:rFonts w:ascii="Times New Roman" w:hAnsi="Times New Roman" w:cs="Times New Roman"/>
          <w:sz w:val="24"/>
          <w:szCs w:val="24"/>
        </w:rPr>
        <w:t>egional vector control officer; c)</w:t>
      </w:r>
      <w:r w:rsidR="00686ECE" w:rsidRPr="00686ECE">
        <w:rPr>
          <w:rFonts w:ascii="Times New Roman" w:hAnsi="Times New Roman" w:cs="Times New Roman"/>
          <w:sz w:val="24"/>
          <w:szCs w:val="24"/>
        </w:rPr>
        <w:t xml:space="preserve"> </w:t>
      </w:r>
      <w:r w:rsidR="00686ECE" w:rsidRPr="00FF3445">
        <w:rPr>
          <w:rFonts w:ascii="Times New Roman" w:hAnsi="Times New Roman" w:cs="Times New Roman"/>
          <w:sz w:val="24"/>
          <w:szCs w:val="24"/>
        </w:rPr>
        <w:t>IRS</w:t>
      </w:r>
      <w:r w:rsidRPr="00FF3445">
        <w:rPr>
          <w:rFonts w:ascii="Times New Roman" w:hAnsi="Times New Roman" w:cs="Times New Roman"/>
          <w:sz w:val="24"/>
          <w:szCs w:val="24"/>
        </w:rPr>
        <w:t xml:space="preserve"> (indoor residual spraying)</w:t>
      </w:r>
      <w:r w:rsidR="00686ECE" w:rsidRPr="00FF3445">
        <w:rPr>
          <w:rFonts w:ascii="Times New Roman" w:hAnsi="Times New Roman" w:cs="Times New Roman"/>
          <w:sz w:val="24"/>
          <w:szCs w:val="24"/>
        </w:rPr>
        <w:t xml:space="preserve"> </w:t>
      </w:r>
      <w:r w:rsidR="00686ECE" w:rsidRPr="00686ECE">
        <w:rPr>
          <w:rFonts w:ascii="Times New Roman" w:hAnsi="Times New Roman" w:cs="Times New Roman"/>
          <w:sz w:val="24"/>
          <w:szCs w:val="24"/>
        </w:rPr>
        <w:t>Consultant</w:t>
      </w:r>
      <w:r>
        <w:rPr>
          <w:rFonts w:ascii="Times New Roman" w:hAnsi="Times New Roman" w:cs="Times New Roman"/>
          <w:sz w:val="24"/>
          <w:szCs w:val="24"/>
        </w:rPr>
        <w:t>; d)</w:t>
      </w:r>
      <w:r w:rsidR="00686ECE" w:rsidRPr="00686ECE">
        <w:rPr>
          <w:rFonts w:ascii="Times New Roman" w:hAnsi="Times New Roman" w:cs="Times New Roman"/>
          <w:sz w:val="24"/>
          <w:szCs w:val="24"/>
        </w:rPr>
        <w:t xml:space="preserve"> </w:t>
      </w:r>
      <w:r>
        <w:rPr>
          <w:rFonts w:ascii="Times New Roman" w:hAnsi="Times New Roman" w:cs="Times New Roman"/>
          <w:sz w:val="24"/>
          <w:szCs w:val="24"/>
        </w:rPr>
        <w:t xml:space="preserve">An administrative officer; e) </w:t>
      </w:r>
      <w:r w:rsidR="00686ECE" w:rsidRPr="00686ECE">
        <w:rPr>
          <w:rFonts w:ascii="Times New Roman" w:hAnsi="Times New Roman" w:cs="Times New Roman"/>
          <w:sz w:val="24"/>
          <w:szCs w:val="24"/>
        </w:rPr>
        <w:t>Procurement officer</w:t>
      </w:r>
      <w:r w:rsidR="009F13FE">
        <w:rPr>
          <w:rFonts w:ascii="Times New Roman" w:hAnsi="Times New Roman" w:cs="Times New Roman"/>
          <w:sz w:val="24"/>
          <w:szCs w:val="24"/>
        </w:rPr>
        <w:t>.</w:t>
      </w:r>
    </w:p>
    <w:p w:rsidR="008F6678" w:rsidRPr="0033656B" w:rsidRDefault="008F6678" w:rsidP="00F96466">
      <w:pPr>
        <w:jc w:val="both"/>
        <w:rPr>
          <w:szCs w:val="16"/>
        </w:rPr>
      </w:pPr>
    </w:p>
    <w:p w:rsidR="008F6678" w:rsidRPr="00A15E30" w:rsidRDefault="008F6678" w:rsidP="000B017F">
      <w:pPr>
        <w:spacing w:after="120"/>
        <w:rPr>
          <w:u w:val="single"/>
        </w:rPr>
      </w:pPr>
      <w:r w:rsidRPr="00595606">
        <w:rPr>
          <w:u w:val="single"/>
        </w:rPr>
        <w:t>Nutritional Support to People living with HIV and TB – WFP</w:t>
      </w:r>
    </w:p>
    <w:p w:rsidR="0033656B" w:rsidRPr="0033656B" w:rsidRDefault="0033656B" w:rsidP="0033656B">
      <w:pPr>
        <w:spacing w:after="120"/>
        <w:jc w:val="both"/>
        <w:rPr>
          <w:i/>
          <w:spacing w:val="-3"/>
        </w:rPr>
      </w:pPr>
      <w:r w:rsidRPr="0033656B">
        <w:rPr>
          <w:i/>
          <w:spacing w:val="-3"/>
        </w:rPr>
        <w:t>Financial Resources</w:t>
      </w:r>
    </w:p>
    <w:p w:rsidR="00751F0A" w:rsidRDefault="00813A40" w:rsidP="00813A40">
      <w:pPr>
        <w:autoSpaceDE w:val="0"/>
        <w:autoSpaceDN w:val="0"/>
        <w:adjustRightInd w:val="0"/>
        <w:jc w:val="both"/>
        <w:rPr>
          <w:rFonts w:cstheme="minorHAnsi"/>
          <w:color w:val="000000"/>
          <w:lang w:eastAsia="en-GB"/>
        </w:rPr>
      </w:pPr>
      <w:r>
        <w:rPr>
          <w:rFonts w:cstheme="minorHAnsi"/>
          <w:color w:val="000000"/>
          <w:lang w:eastAsia="en-GB"/>
        </w:rPr>
        <w:t xml:space="preserve">The Nutritional Support to People living with HIV (PLHIV) and TB project </w:t>
      </w:r>
      <w:r w:rsidR="00751F0A" w:rsidRPr="00813A40">
        <w:rPr>
          <w:rFonts w:cstheme="minorHAnsi"/>
          <w:color w:val="000000"/>
          <w:lang w:eastAsia="en-GB"/>
        </w:rPr>
        <w:t xml:space="preserve">received a sum total of </w:t>
      </w:r>
      <w:bookmarkStart w:id="1" w:name="OLE_LINK4"/>
      <w:bookmarkStart w:id="2" w:name="OLE_LINK5"/>
      <w:r w:rsidR="00751F0A" w:rsidRPr="00813A40">
        <w:rPr>
          <w:rFonts w:cstheme="minorHAnsi"/>
          <w:color w:val="000000"/>
          <w:lang w:eastAsia="en-GB"/>
        </w:rPr>
        <w:t>$ 652,246</w:t>
      </w:r>
      <w:r w:rsidR="009C51CB">
        <w:rPr>
          <w:rFonts w:cstheme="minorHAnsi"/>
          <w:color w:val="000000"/>
          <w:lang w:eastAsia="en-GB"/>
        </w:rPr>
        <w:t>.</w:t>
      </w:r>
      <w:r w:rsidR="00751F0A" w:rsidRPr="00813A40">
        <w:rPr>
          <w:rFonts w:cstheme="minorHAnsi"/>
          <w:color w:val="000000"/>
          <w:lang w:eastAsia="en-GB"/>
        </w:rPr>
        <w:t xml:space="preserve"> </w:t>
      </w:r>
      <w:bookmarkEnd w:id="1"/>
      <w:bookmarkEnd w:id="2"/>
      <w:r w:rsidR="009C51CB">
        <w:t>P</w:t>
      </w:r>
      <w:r w:rsidR="00717BAE" w:rsidRPr="00FF3445">
        <w:t>rimarily the funds were used f</w:t>
      </w:r>
      <w:r w:rsidR="00717BAE">
        <w:t>or procurement and shipping of food commodities</w:t>
      </w:r>
      <w:r w:rsidR="00717BAE">
        <w:rPr>
          <w:rFonts w:cstheme="minorHAnsi"/>
          <w:color w:val="000000"/>
          <w:lang w:eastAsia="en-GB"/>
        </w:rPr>
        <w:t xml:space="preserve"> for </w:t>
      </w:r>
      <w:r w:rsidR="00751F0A" w:rsidRPr="00813A40">
        <w:rPr>
          <w:rFonts w:cstheme="minorHAnsi"/>
          <w:color w:val="000000"/>
          <w:lang w:eastAsia="en-GB"/>
        </w:rPr>
        <w:t>the provision of nutritional support to PLHIV and TB patients including their families for a period of 4 months (</w:t>
      </w:r>
      <w:bookmarkStart w:id="3" w:name="OLE_LINK1"/>
      <w:r w:rsidR="00751F0A" w:rsidRPr="00813A40">
        <w:rPr>
          <w:rFonts w:cstheme="minorHAnsi"/>
          <w:color w:val="000000"/>
          <w:lang w:eastAsia="en-GB"/>
        </w:rPr>
        <w:t>July to October 2010</w:t>
      </w:r>
      <w:bookmarkEnd w:id="3"/>
      <w:r w:rsidR="00751F0A" w:rsidRPr="00813A40">
        <w:rPr>
          <w:rFonts w:cstheme="minorHAnsi"/>
          <w:color w:val="000000"/>
          <w:lang w:eastAsia="en-GB"/>
        </w:rPr>
        <w:t>). There is no committed fund for 2011 and beyond,</w:t>
      </w:r>
      <w:r w:rsidR="00751F0A" w:rsidRPr="00813A40">
        <w:rPr>
          <w:rFonts w:cstheme="minorHAnsi"/>
          <w:b/>
          <w:bCs/>
          <w:color w:val="365F92"/>
          <w:lang w:eastAsia="en-GB"/>
        </w:rPr>
        <w:t xml:space="preserve"> </w:t>
      </w:r>
      <w:r w:rsidR="00751F0A" w:rsidRPr="00813A40">
        <w:rPr>
          <w:rFonts w:cstheme="minorHAnsi"/>
          <w:color w:val="000000"/>
          <w:lang w:eastAsia="en-GB"/>
        </w:rPr>
        <w:t>leaving an estimated resou</w:t>
      </w:r>
      <w:r>
        <w:rPr>
          <w:rFonts w:cstheme="minorHAnsi"/>
          <w:color w:val="000000"/>
          <w:lang w:eastAsia="en-GB"/>
        </w:rPr>
        <w:t xml:space="preserve">rce gap of $1,760, 297 million to complete the project. </w:t>
      </w:r>
    </w:p>
    <w:p w:rsidR="00813A40" w:rsidRPr="00813A40" w:rsidRDefault="00813A40" w:rsidP="00813A40">
      <w:pPr>
        <w:autoSpaceDE w:val="0"/>
        <w:autoSpaceDN w:val="0"/>
        <w:adjustRightInd w:val="0"/>
        <w:rPr>
          <w:rFonts w:cstheme="minorHAnsi"/>
          <w:color w:val="000000"/>
          <w:lang w:eastAsia="en-GB"/>
        </w:rPr>
      </w:pPr>
    </w:p>
    <w:p w:rsidR="00751F0A" w:rsidRPr="0033656B" w:rsidRDefault="00751F0A" w:rsidP="0033656B">
      <w:pPr>
        <w:spacing w:after="120"/>
        <w:jc w:val="both"/>
        <w:rPr>
          <w:i/>
          <w:spacing w:val="-3"/>
        </w:rPr>
      </w:pPr>
      <w:r w:rsidRPr="0033656B">
        <w:rPr>
          <w:i/>
          <w:spacing w:val="-3"/>
        </w:rPr>
        <w:t>Human Resources</w:t>
      </w:r>
    </w:p>
    <w:p w:rsidR="00751F0A" w:rsidRDefault="003A3AA5" w:rsidP="003A3AA5">
      <w:pPr>
        <w:pStyle w:val="ListParagraph"/>
        <w:numPr>
          <w:ilvl w:val="0"/>
          <w:numId w:val="20"/>
        </w:numPr>
        <w:jc w:val="both"/>
        <w:rPr>
          <w:rFonts w:cstheme="minorHAnsi"/>
          <w:bCs/>
        </w:rPr>
      </w:pPr>
      <w:r>
        <w:t>The project was implemented with support from</w:t>
      </w:r>
      <w:r w:rsidRPr="00CF1E7E">
        <w:rPr>
          <w:rFonts w:cstheme="minorHAnsi"/>
          <w:bCs/>
        </w:rPr>
        <w:t xml:space="preserve"> </w:t>
      </w:r>
      <w:r w:rsidR="00751F0A">
        <w:rPr>
          <w:rFonts w:cstheme="minorHAnsi"/>
          <w:bCs/>
        </w:rPr>
        <w:t xml:space="preserve">Four (4) </w:t>
      </w:r>
      <w:r>
        <w:rPr>
          <w:rFonts w:cstheme="minorHAnsi"/>
          <w:bCs/>
        </w:rPr>
        <w:t xml:space="preserve">national </w:t>
      </w:r>
      <w:r w:rsidR="009C51CB">
        <w:rPr>
          <w:rFonts w:cstheme="minorHAnsi"/>
          <w:bCs/>
        </w:rPr>
        <w:t>staff</w:t>
      </w:r>
      <w:r w:rsidR="00751F0A">
        <w:rPr>
          <w:rFonts w:cstheme="minorHAnsi"/>
          <w:bCs/>
        </w:rPr>
        <w:t xml:space="preserve"> referred to as </w:t>
      </w:r>
      <w:r>
        <w:rPr>
          <w:rFonts w:cstheme="minorHAnsi"/>
          <w:bCs/>
        </w:rPr>
        <w:t>the project Implementation Team</w:t>
      </w:r>
      <w:r w:rsidR="009C51CB">
        <w:rPr>
          <w:rFonts w:cstheme="minorHAnsi"/>
          <w:bCs/>
        </w:rPr>
        <w:t>,</w:t>
      </w:r>
      <w:r>
        <w:rPr>
          <w:rFonts w:cstheme="minorHAnsi"/>
          <w:bCs/>
        </w:rPr>
        <w:t xml:space="preserve"> including</w:t>
      </w:r>
      <w:r w:rsidR="00751F0A" w:rsidRPr="00CF1E7E">
        <w:rPr>
          <w:rFonts w:cstheme="minorHAnsi"/>
          <w:bCs/>
        </w:rPr>
        <w:t xml:space="preserve"> </w:t>
      </w:r>
      <w:r>
        <w:rPr>
          <w:rFonts w:cstheme="minorHAnsi"/>
          <w:bCs/>
        </w:rPr>
        <w:t>1 National Programme Officer and 3 Senior Programme Assistants</w:t>
      </w:r>
      <w:r w:rsidR="009C51CB">
        <w:rPr>
          <w:rFonts w:cstheme="minorHAnsi"/>
          <w:bCs/>
        </w:rPr>
        <w:t>,</w:t>
      </w:r>
      <w:r>
        <w:rPr>
          <w:rFonts w:cstheme="minorHAnsi"/>
          <w:bCs/>
        </w:rPr>
        <w:t xml:space="preserve"> including </w:t>
      </w:r>
      <w:r w:rsidR="00751F0A">
        <w:rPr>
          <w:rFonts w:cstheme="minorHAnsi"/>
          <w:bCs/>
        </w:rPr>
        <w:t>One-Nutritionist i</w:t>
      </w:r>
      <w:r w:rsidR="00751F0A" w:rsidRPr="00CF1E7E">
        <w:rPr>
          <w:rFonts w:cstheme="minorHAnsi"/>
          <w:bCs/>
        </w:rPr>
        <w:t xml:space="preserve">n charge of  HIV/AIDS </w:t>
      </w:r>
      <w:r w:rsidR="009C51CB">
        <w:rPr>
          <w:rFonts w:cstheme="minorHAnsi"/>
          <w:bCs/>
        </w:rPr>
        <w:t>and Gender.</w:t>
      </w:r>
    </w:p>
    <w:p w:rsidR="003A3AA5" w:rsidRDefault="003A3AA5" w:rsidP="008D14A9">
      <w:pPr>
        <w:pStyle w:val="ListParagraph"/>
        <w:ind w:firstLine="720"/>
        <w:jc w:val="both"/>
        <w:rPr>
          <w:rFonts w:cstheme="minorHAnsi"/>
          <w:bCs/>
          <w:szCs w:val="16"/>
        </w:rPr>
      </w:pPr>
    </w:p>
    <w:p w:rsidR="008D14A9" w:rsidRPr="008D14A9" w:rsidRDefault="008D14A9" w:rsidP="008D14A9">
      <w:pPr>
        <w:pStyle w:val="ListParagraph"/>
        <w:ind w:firstLine="720"/>
        <w:jc w:val="both"/>
        <w:rPr>
          <w:rFonts w:cstheme="minorHAnsi"/>
          <w:bCs/>
          <w:szCs w:val="16"/>
        </w:rPr>
      </w:pPr>
    </w:p>
    <w:p w:rsidR="003A3AA5" w:rsidRPr="000B017F" w:rsidRDefault="003A3AA5" w:rsidP="008D14A9">
      <w:pPr>
        <w:pStyle w:val="NoSpacing"/>
        <w:numPr>
          <w:ilvl w:val="0"/>
          <w:numId w:val="42"/>
        </w:numPr>
        <w:rPr>
          <w:rFonts w:ascii="Times New Roman" w:hAnsi="Times New Roman"/>
          <w:b/>
          <w:sz w:val="24"/>
          <w:szCs w:val="24"/>
        </w:rPr>
      </w:pPr>
      <w:r w:rsidRPr="000B017F">
        <w:rPr>
          <w:rFonts w:ascii="Times New Roman" w:hAnsi="Times New Roman"/>
          <w:b/>
          <w:sz w:val="24"/>
          <w:szCs w:val="24"/>
        </w:rPr>
        <w:t>Implementation and Monitoring Arrangements</w:t>
      </w:r>
    </w:p>
    <w:p w:rsidR="00644A26" w:rsidRPr="00814E67" w:rsidRDefault="00644A26" w:rsidP="0039614C">
      <w:pPr>
        <w:autoSpaceDE w:val="0"/>
        <w:autoSpaceDN w:val="0"/>
        <w:adjustRightInd w:val="0"/>
        <w:rPr>
          <w:color w:val="1A1A1A"/>
          <w:sz w:val="16"/>
          <w:szCs w:val="16"/>
        </w:rPr>
      </w:pPr>
    </w:p>
    <w:p w:rsidR="00C632EF" w:rsidRDefault="00C632EF" w:rsidP="0039614C">
      <w:pPr>
        <w:autoSpaceDE w:val="0"/>
        <w:autoSpaceDN w:val="0"/>
        <w:adjustRightInd w:val="0"/>
      </w:pPr>
      <w:r>
        <w:rPr>
          <w:color w:val="1A1A1A"/>
        </w:rPr>
        <w:t xml:space="preserve">UN Joint Vision - Programme 6 HIV/AIDS &amp; Malaria, </w:t>
      </w:r>
      <w:r w:rsidRPr="00F84A27">
        <w:rPr>
          <w:bCs/>
          <w:noProof/>
        </w:rPr>
        <w:t xml:space="preserve">represents </w:t>
      </w:r>
      <w:r w:rsidRPr="00F84A27">
        <w:t>the responsiveness and harmonized integration of all UN agencies HIV</w:t>
      </w:r>
      <w:r>
        <w:t xml:space="preserve"> and Malaria</w:t>
      </w:r>
      <w:r w:rsidRPr="00F84A27">
        <w:t xml:space="preserve"> activities in Sierra Leone</w:t>
      </w:r>
      <w:r>
        <w:t xml:space="preserve">, it does </w:t>
      </w:r>
      <w:r>
        <w:lastRenderedPageBreak/>
        <w:t xml:space="preserve">so by </w:t>
      </w:r>
      <w:r w:rsidRPr="00F72825">
        <w:rPr>
          <w:color w:val="000000"/>
          <w:lang w:val="en-GB"/>
        </w:rPr>
        <w:t>identifying and aligning each</w:t>
      </w:r>
      <w:r w:rsidR="009C51CB">
        <w:rPr>
          <w:color w:val="000000"/>
          <w:lang w:val="en-GB"/>
        </w:rPr>
        <w:t xml:space="preserve"> agency’s</w:t>
      </w:r>
      <w:r w:rsidRPr="00F72825">
        <w:rPr>
          <w:color w:val="000000"/>
          <w:lang w:val="en-GB"/>
        </w:rPr>
        <w:t xml:space="preserve"> comparative advantage to add the greatest value to the UN</w:t>
      </w:r>
      <w:r w:rsidR="009C51CB">
        <w:rPr>
          <w:color w:val="000000"/>
          <w:lang w:val="en-GB"/>
        </w:rPr>
        <w:t>’</w:t>
      </w:r>
      <w:r w:rsidRPr="00F72825">
        <w:rPr>
          <w:color w:val="000000"/>
          <w:lang w:val="en-GB"/>
        </w:rPr>
        <w:t>s contribution</w:t>
      </w:r>
      <w:r>
        <w:rPr>
          <w:color w:val="000000"/>
          <w:lang w:val="en-GB"/>
        </w:rPr>
        <w:t xml:space="preserve"> to Sierra Leone. </w:t>
      </w:r>
    </w:p>
    <w:p w:rsidR="00C632EF" w:rsidRPr="00814E67" w:rsidRDefault="00C632EF" w:rsidP="0039614C">
      <w:pPr>
        <w:autoSpaceDE w:val="0"/>
        <w:autoSpaceDN w:val="0"/>
        <w:adjustRightInd w:val="0"/>
        <w:rPr>
          <w:sz w:val="16"/>
          <w:szCs w:val="16"/>
        </w:rPr>
      </w:pPr>
    </w:p>
    <w:p w:rsidR="00713D2E" w:rsidRPr="0039614C" w:rsidRDefault="00713D2E" w:rsidP="0039614C">
      <w:pPr>
        <w:autoSpaceDE w:val="0"/>
        <w:autoSpaceDN w:val="0"/>
        <w:adjustRightInd w:val="0"/>
      </w:pPr>
      <w:r>
        <w:t xml:space="preserve">While </w:t>
      </w:r>
      <w:r w:rsidR="00C632EF">
        <w:t>Programme 6</w:t>
      </w:r>
      <w:r w:rsidR="0039614C">
        <w:t xml:space="preserve"> </w:t>
      </w:r>
      <w:r>
        <w:t xml:space="preserve">identifies the work to be undertaken by UN agencies, most, if not all outcomes </w:t>
      </w:r>
      <w:r w:rsidR="00C632EF">
        <w:t xml:space="preserve">are </w:t>
      </w:r>
      <w:r>
        <w:t>achieved</w:t>
      </w:r>
      <w:r w:rsidR="0039614C">
        <w:t xml:space="preserve"> </w:t>
      </w:r>
      <w:r>
        <w:t>through working in partnership with government, civil society, multilaterals, bilateral</w:t>
      </w:r>
      <w:r w:rsidR="0039614C">
        <w:t xml:space="preserve"> </w:t>
      </w:r>
      <w:r w:rsidR="00C632EF">
        <w:t>organizations</w:t>
      </w:r>
      <w:r>
        <w:t xml:space="preserve"> and their implementing partners</w:t>
      </w:r>
      <w:r w:rsidR="00C632EF">
        <w:t xml:space="preserve">. </w:t>
      </w:r>
    </w:p>
    <w:p w:rsidR="00ED318B" w:rsidRPr="008D14A9" w:rsidRDefault="00ED318B" w:rsidP="003A3AA5">
      <w:pPr>
        <w:pStyle w:val="Heading2"/>
        <w:rPr>
          <w:b w:val="0"/>
          <w:sz w:val="24"/>
          <w:szCs w:val="16"/>
          <w:u w:val="single"/>
        </w:rPr>
      </w:pPr>
    </w:p>
    <w:p w:rsidR="003A3AA5" w:rsidRPr="000B017F" w:rsidRDefault="003A3AA5" w:rsidP="000B017F">
      <w:pPr>
        <w:spacing w:after="120"/>
        <w:rPr>
          <w:u w:val="single"/>
        </w:rPr>
      </w:pPr>
      <w:r w:rsidRPr="000D7614">
        <w:rPr>
          <w:u w:val="single"/>
        </w:rPr>
        <w:t>Malaria Control,</w:t>
      </w:r>
      <w:r w:rsidR="009C51CB">
        <w:rPr>
          <w:u w:val="single"/>
        </w:rPr>
        <w:t xml:space="preserve"> Long Lasting Insecticide-treated Nets</w:t>
      </w:r>
      <w:r w:rsidRPr="000D7614">
        <w:rPr>
          <w:u w:val="single"/>
        </w:rPr>
        <w:t xml:space="preserve"> </w:t>
      </w:r>
      <w:r w:rsidR="009C51CB">
        <w:rPr>
          <w:u w:val="single"/>
        </w:rPr>
        <w:t>(</w:t>
      </w:r>
      <w:r w:rsidRPr="000D7614">
        <w:rPr>
          <w:u w:val="single"/>
        </w:rPr>
        <w:t>LLINs</w:t>
      </w:r>
      <w:r w:rsidR="009C51CB">
        <w:rPr>
          <w:u w:val="single"/>
        </w:rPr>
        <w:t>)</w:t>
      </w:r>
      <w:r w:rsidRPr="000D7614">
        <w:rPr>
          <w:u w:val="single"/>
        </w:rPr>
        <w:t xml:space="preserve"> Universal Coverage – UNICEF</w:t>
      </w:r>
    </w:p>
    <w:p w:rsidR="00D21369" w:rsidRPr="00D21369" w:rsidRDefault="00D21369" w:rsidP="00D21369">
      <w:pPr>
        <w:spacing w:after="120"/>
        <w:jc w:val="both"/>
        <w:rPr>
          <w:i/>
        </w:rPr>
      </w:pPr>
      <w:r w:rsidRPr="00D21369">
        <w:rPr>
          <w:i/>
        </w:rPr>
        <w:t>Implementation</w:t>
      </w:r>
    </w:p>
    <w:p w:rsidR="00EB4987" w:rsidRDefault="002F283A" w:rsidP="00FC00B0">
      <w:pPr>
        <w:spacing w:after="160"/>
        <w:jc w:val="both"/>
      </w:pPr>
      <w:r w:rsidRPr="00142DD4">
        <w:t>The project was managed under the overall coordinating responsibility</w:t>
      </w:r>
      <w:r>
        <w:t xml:space="preserve"> of UNICEF in collaboration with the Ministry of Health and Sanitation and the District Health Management Teams. It was thought strategic to implement the project as part of an </w:t>
      </w:r>
      <w:r w:rsidR="003A3AA5" w:rsidRPr="0087011F">
        <w:t xml:space="preserve">integrated campaign </w:t>
      </w:r>
      <w:r>
        <w:t xml:space="preserve">rolled out </w:t>
      </w:r>
      <w:r w:rsidR="003A3AA5" w:rsidRPr="0087011F">
        <w:t xml:space="preserve">during the </w:t>
      </w:r>
      <w:r w:rsidR="003A3AA5">
        <w:t>M</w:t>
      </w:r>
      <w:r>
        <w:t xml:space="preserve">aternal and </w:t>
      </w:r>
      <w:r w:rsidR="003A3AA5">
        <w:t>C</w:t>
      </w:r>
      <w:r>
        <w:t xml:space="preserve">hild </w:t>
      </w:r>
      <w:r w:rsidR="003A3AA5">
        <w:t>H</w:t>
      </w:r>
      <w:r>
        <w:t xml:space="preserve">ealth </w:t>
      </w:r>
      <w:r w:rsidR="003A3AA5">
        <w:t>W</w:t>
      </w:r>
      <w:r>
        <w:t>eek</w:t>
      </w:r>
      <w:r w:rsidR="003A3AA5">
        <w:t xml:space="preserve"> </w:t>
      </w:r>
      <w:r w:rsidR="00B1019D">
        <w:t xml:space="preserve">(MCHW) </w:t>
      </w:r>
      <w:r w:rsidR="003A3AA5">
        <w:t>campaign</w:t>
      </w:r>
      <w:r w:rsidR="003A3AA5" w:rsidRPr="0087011F">
        <w:t xml:space="preserve"> </w:t>
      </w:r>
      <w:r>
        <w:t>during the period</w:t>
      </w:r>
      <w:r w:rsidR="003A3AA5" w:rsidRPr="0087011F">
        <w:t xml:space="preserve"> </w:t>
      </w:r>
      <w:r>
        <w:t xml:space="preserve">of </w:t>
      </w:r>
      <w:r w:rsidR="003A3AA5" w:rsidRPr="0087011F">
        <w:t xml:space="preserve">November and December 2010. </w:t>
      </w:r>
    </w:p>
    <w:p w:rsidR="00644A26" w:rsidRPr="008E7F98" w:rsidRDefault="00B1019D" w:rsidP="008E7F98">
      <w:pPr>
        <w:spacing w:after="160"/>
        <w:jc w:val="both"/>
        <w:rPr>
          <w:szCs w:val="16"/>
        </w:rPr>
      </w:pPr>
      <w:r>
        <w:t>The</w:t>
      </w:r>
      <w:r w:rsidR="003A3AA5" w:rsidRPr="0087011F">
        <w:t xml:space="preserve"> </w:t>
      </w:r>
      <w:r>
        <w:t>MCHW</w:t>
      </w:r>
      <w:r w:rsidR="003A3AA5" w:rsidRPr="0087011F">
        <w:t xml:space="preserve"> </w:t>
      </w:r>
      <w:r>
        <w:t>received</w:t>
      </w:r>
      <w:r w:rsidR="003A3AA5">
        <w:t xml:space="preserve"> Government </w:t>
      </w:r>
      <w:r>
        <w:t>commitment</w:t>
      </w:r>
      <w:r w:rsidR="003A3AA5" w:rsidRPr="0087011F">
        <w:t xml:space="preserve"> from all levels,</w:t>
      </w:r>
      <w:r>
        <w:t xml:space="preserve"> with the President of Sierra Leone Dr. Ernest Koroma </w:t>
      </w:r>
      <w:r w:rsidR="003A3AA5" w:rsidRPr="0087011F">
        <w:t xml:space="preserve">a key supporter </w:t>
      </w:r>
      <w:r>
        <w:t>of</w:t>
      </w:r>
      <w:r w:rsidR="003A3AA5" w:rsidRPr="0087011F">
        <w:t xml:space="preserve"> the launch of the </w:t>
      </w:r>
      <w:r>
        <w:t xml:space="preserve">insecticide </w:t>
      </w:r>
      <w:r w:rsidR="003A3AA5" w:rsidRPr="0087011F">
        <w:t>bed</w:t>
      </w:r>
      <w:r w:rsidR="00A221F5">
        <w:t>-</w:t>
      </w:r>
      <w:r w:rsidR="003A3AA5" w:rsidRPr="0087011F">
        <w:t xml:space="preserve">net campaign. Due to the high profile and visibility for LLINs distribution, health partners and other stakeholders </w:t>
      </w:r>
      <w:r>
        <w:t>were</w:t>
      </w:r>
      <w:r w:rsidR="003A3AA5" w:rsidRPr="0087011F">
        <w:t xml:space="preserve"> fully involved in the distribution campaign.</w:t>
      </w:r>
    </w:p>
    <w:p w:rsidR="003A3AA5" w:rsidRDefault="00A221F5" w:rsidP="008E7F98">
      <w:pPr>
        <w:spacing w:after="120"/>
        <w:jc w:val="both"/>
      </w:pPr>
      <w:r>
        <w:t>Project Implementation focused on two interrelated strategies including procurement and supply of bed-nets complemented</w:t>
      </w:r>
      <w:r w:rsidR="00C6157E">
        <w:t xml:space="preserve"> by</w:t>
      </w:r>
      <w:r>
        <w:t xml:space="preserve"> </w:t>
      </w:r>
      <w:r w:rsidR="003A3AA5" w:rsidRPr="0087011F">
        <w:t xml:space="preserve">social mobilization </w:t>
      </w:r>
      <w:r>
        <w:t>activities to increase uptake of bed-ne</w:t>
      </w:r>
      <w:r w:rsidR="00C6157E">
        <w:t>ts</w:t>
      </w:r>
      <w:r w:rsidR="009C51CB">
        <w:t>. S</w:t>
      </w:r>
      <w:r w:rsidR="00C6157E">
        <w:t>ocial mobilization activities included:</w:t>
      </w:r>
    </w:p>
    <w:p w:rsidR="003A3AA5" w:rsidRPr="0087011F" w:rsidRDefault="00C6157E" w:rsidP="008E7F98">
      <w:pPr>
        <w:pStyle w:val="ListParagraph"/>
        <w:numPr>
          <w:ilvl w:val="0"/>
          <w:numId w:val="32"/>
        </w:numPr>
        <w:spacing w:after="120"/>
        <w:contextualSpacing w:val="0"/>
        <w:jc w:val="both"/>
      </w:pPr>
      <w:r>
        <w:t>C</w:t>
      </w:r>
      <w:r w:rsidR="003A3AA5" w:rsidRPr="0087011F">
        <w:t>ommunication activities in Ton</w:t>
      </w:r>
      <w:r>
        <w:t>kolili and Koinadugu districts, including</w:t>
      </w:r>
      <w:r w:rsidR="003A3AA5" w:rsidRPr="0087011F">
        <w:t xml:space="preserve"> radio jingles, radio panel discussions on the MC</w:t>
      </w:r>
      <w:r>
        <w:t>HW, LLIN distribution and use;</w:t>
      </w:r>
      <w:r w:rsidR="003A3AA5" w:rsidRPr="0087011F">
        <w:t xml:space="preserve"> advocacy meetings with community stakeholders at district and chiefdom levels and street to street and house to house announcements. </w:t>
      </w:r>
    </w:p>
    <w:p w:rsidR="003A3AA5" w:rsidRPr="0087011F" w:rsidRDefault="003A3AA5" w:rsidP="008E7F98">
      <w:pPr>
        <w:pStyle w:val="ListParagraph"/>
        <w:numPr>
          <w:ilvl w:val="0"/>
          <w:numId w:val="32"/>
        </w:numPr>
        <w:spacing w:after="120"/>
        <w:contextualSpacing w:val="0"/>
        <w:jc w:val="both"/>
      </w:pPr>
      <w:r w:rsidRPr="0087011F">
        <w:t>Integration of MCHW,</w:t>
      </w:r>
      <w:r w:rsidR="009C51CB">
        <w:t xml:space="preserve"> Long Lasting Insecticide-treated Nets</w:t>
      </w:r>
      <w:r w:rsidRPr="0087011F">
        <w:t xml:space="preserve"> </w:t>
      </w:r>
      <w:r w:rsidR="009C51CB">
        <w:t>(</w:t>
      </w:r>
      <w:r w:rsidRPr="0087011F">
        <w:t>LLIN</w:t>
      </w:r>
      <w:r w:rsidR="009C51CB">
        <w:t>s)</w:t>
      </w:r>
      <w:r w:rsidRPr="0087011F">
        <w:t xml:space="preserve"> use and malaria prevention messages in “</w:t>
      </w:r>
      <w:r w:rsidRPr="00FD2A31">
        <w:rPr>
          <w:b/>
          <w:i/>
        </w:rPr>
        <w:t>Atunda and Ayenda</w:t>
      </w:r>
      <w:r w:rsidRPr="0087011F">
        <w:t xml:space="preserve">” radio drama show which addresses a range of social issues. </w:t>
      </w:r>
    </w:p>
    <w:p w:rsidR="003A3AA5" w:rsidRPr="0087011F" w:rsidRDefault="00C6157E" w:rsidP="008E7F98">
      <w:pPr>
        <w:pStyle w:val="ListParagraph"/>
        <w:numPr>
          <w:ilvl w:val="0"/>
          <w:numId w:val="32"/>
        </w:numPr>
        <w:spacing w:after="120"/>
        <w:contextualSpacing w:val="0"/>
        <w:jc w:val="both"/>
      </w:pPr>
      <w:r>
        <w:t>C</w:t>
      </w:r>
      <w:r w:rsidR="003A3AA5" w:rsidRPr="0087011F">
        <w:t>ivil society organization</w:t>
      </w:r>
      <w:r>
        <w:t>s</w:t>
      </w:r>
      <w:r w:rsidR="003A3AA5" w:rsidRPr="0087011F">
        <w:t xml:space="preserve"> conducted district level orientation of the members of Farmers Associations, Traders and Market Women Associations and Bike and Motorcar Drivers Associations. A total of 660 people were oriented on the MCHW, LLIN use and malaria prevention. </w:t>
      </w:r>
    </w:p>
    <w:p w:rsidR="00C6157E" w:rsidRDefault="003A3AA5" w:rsidP="008E7F98">
      <w:pPr>
        <w:pStyle w:val="ListParagraph"/>
        <w:numPr>
          <w:ilvl w:val="0"/>
          <w:numId w:val="32"/>
        </w:numPr>
        <w:spacing w:after="120"/>
        <w:contextualSpacing w:val="0"/>
        <w:jc w:val="both"/>
      </w:pPr>
      <w:r w:rsidRPr="0087011F">
        <w:t xml:space="preserve">60 Community Theatre/Social Drama performances were conducted in Western Area and Port Loko districts using a popular folk media form to inform, allay fears, clarify doubts and encourage adoption of favourable behaviours such as daily LLIN use for malaria prevention. </w:t>
      </w:r>
    </w:p>
    <w:p w:rsidR="00C6157E" w:rsidRDefault="003A3AA5" w:rsidP="008E7F98">
      <w:pPr>
        <w:pStyle w:val="ListParagraph"/>
        <w:numPr>
          <w:ilvl w:val="0"/>
          <w:numId w:val="32"/>
        </w:numPr>
        <w:spacing w:after="120"/>
        <w:contextualSpacing w:val="0"/>
        <w:jc w:val="both"/>
      </w:pPr>
      <w:r w:rsidRPr="0087011F">
        <w:t xml:space="preserve">149 Paramount Chiefs were oriented on MCHW, LLIN use and malaria prevention. </w:t>
      </w:r>
    </w:p>
    <w:p w:rsidR="003A3AA5" w:rsidRPr="0087011F" w:rsidRDefault="00C6157E" w:rsidP="008E7F98">
      <w:pPr>
        <w:pStyle w:val="ListParagraph"/>
        <w:numPr>
          <w:ilvl w:val="0"/>
          <w:numId w:val="32"/>
        </w:numPr>
        <w:spacing w:after="120"/>
        <w:contextualSpacing w:val="0"/>
        <w:jc w:val="both"/>
      </w:pPr>
      <w:r>
        <w:t>C</w:t>
      </w:r>
      <w:r w:rsidR="003A3AA5" w:rsidRPr="0087011F">
        <w:t>ampaign jingle</w:t>
      </w:r>
      <w:r>
        <w:t>s</w:t>
      </w:r>
      <w:r w:rsidR="003A3AA5" w:rsidRPr="0087011F">
        <w:t xml:space="preserve"> in Krio, its translation in Temne, Limba, Mende and Fula </w:t>
      </w:r>
      <w:r>
        <w:t>were aired</w:t>
      </w:r>
      <w:r w:rsidR="003A3AA5" w:rsidRPr="0087011F">
        <w:t xml:space="preserve"> on 30 radio stations throughout the country on 6 slots per day for 14 days.</w:t>
      </w:r>
    </w:p>
    <w:p w:rsidR="003A3AA5" w:rsidRPr="0087011F" w:rsidRDefault="003A3AA5" w:rsidP="008E7F98">
      <w:pPr>
        <w:pStyle w:val="ListParagraph"/>
        <w:numPr>
          <w:ilvl w:val="0"/>
          <w:numId w:val="32"/>
        </w:numPr>
        <w:spacing w:after="120"/>
        <w:contextualSpacing w:val="0"/>
        <w:jc w:val="both"/>
      </w:pPr>
      <w:r w:rsidRPr="0087011F">
        <w:t xml:space="preserve">Press Orientation on MCHW campaign and strategy for 30 media houses in Freetown. </w:t>
      </w:r>
    </w:p>
    <w:p w:rsidR="003A3AA5" w:rsidRPr="0087011F" w:rsidRDefault="00C6157E" w:rsidP="008E7F98">
      <w:pPr>
        <w:pStyle w:val="ListParagraph"/>
        <w:numPr>
          <w:ilvl w:val="0"/>
          <w:numId w:val="32"/>
        </w:numPr>
        <w:spacing w:after="120"/>
        <w:contextualSpacing w:val="0"/>
        <w:jc w:val="both"/>
      </w:pPr>
      <w:r>
        <w:t>O</w:t>
      </w:r>
      <w:r w:rsidR="003A3AA5" w:rsidRPr="0087011F">
        <w:t xml:space="preserve">fficers of Health Education Division of the </w:t>
      </w:r>
      <w:r w:rsidR="003A3AA5">
        <w:t>MoHS</w:t>
      </w:r>
      <w:r w:rsidR="003A3AA5" w:rsidRPr="0087011F">
        <w:t xml:space="preserve"> </w:t>
      </w:r>
      <w:r>
        <w:t>provided</w:t>
      </w:r>
      <w:r w:rsidR="003A3AA5" w:rsidRPr="0087011F">
        <w:t xml:space="preserve"> supervision of social mobilization planning and implementation. </w:t>
      </w:r>
    </w:p>
    <w:p w:rsidR="003A3AA5" w:rsidRPr="0087011F" w:rsidRDefault="003A3AA5" w:rsidP="008E7F98">
      <w:pPr>
        <w:pStyle w:val="ListParagraph"/>
        <w:numPr>
          <w:ilvl w:val="0"/>
          <w:numId w:val="32"/>
        </w:numPr>
        <w:spacing w:after="120"/>
        <w:contextualSpacing w:val="0"/>
        <w:jc w:val="both"/>
      </w:pPr>
      <w:r w:rsidRPr="0087011F">
        <w:lastRenderedPageBreak/>
        <w:t>Production and broadcast of TV spot on LLIN use and malaria prevention on Sign Africa video billboards in Freetown</w:t>
      </w:r>
      <w:r w:rsidR="009C51CB">
        <w:t>.</w:t>
      </w:r>
      <w:r w:rsidRPr="0087011F">
        <w:t xml:space="preserve"> </w:t>
      </w:r>
    </w:p>
    <w:p w:rsidR="00C6157E" w:rsidRDefault="003A3AA5" w:rsidP="008E7F98">
      <w:pPr>
        <w:pStyle w:val="ListParagraph"/>
        <w:numPr>
          <w:ilvl w:val="0"/>
          <w:numId w:val="32"/>
        </w:numPr>
        <w:spacing w:after="120"/>
        <w:contextualSpacing w:val="0"/>
        <w:jc w:val="both"/>
      </w:pPr>
      <w:r w:rsidRPr="0087011F">
        <w:t xml:space="preserve">610 Community Motivators were oriented on the MCHW campaign, malaria prevention and LLIN use and provided with a small incentive to visit houses in their catchment areas to inform and counsel households on the campaign and facilitate behaviour change on LLIN use. </w:t>
      </w:r>
    </w:p>
    <w:p w:rsidR="00C6157E" w:rsidRDefault="00C6157E" w:rsidP="008E7F98">
      <w:pPr>
        <w:pStyle w:val="ListParagraph"/>
        <w:numPr>
          <w:ilvl w:val="0"/>
          <w:numId w:val="32"/>
        </w:numPr>
        <w:spacing w:after="120"/>
        <w:contextualSpacing w:val="0"/>
        <w:jc w:val="both"/>
      </w:pPr>
      <w:r>
        <w:t>P</w:t>
      </w:r>
      <w:r w:rsidR="003A3AA5" w:rsidRPr="0087011F">
        <w:t xml:space="preserve">opular local musician Felicia Turay (Lady Felicia) </w:t>
      </w:r>
      <w:r>
        <w:t xml:space="preserve">and </w:t>
      </w:r>
      <w:r w:rsidRPr="0087011F">
        <w:t>popular comedian “Sara the Great”</w:t>
      </w:r>
      <w:r>
        <w:t xml:space="preserve"> were</w:t>
      </w:r>
      <w:r w:rsidR="003A3AA5" w:rsidRPr="0087011F">
        <w:t xml:space="preserve"> contracted to </w:t>
      </w:r>
      <w:r>
        <w:t xml:space="preserve">develop songs and </w:t>
      </w:r>
      <w:r w:rsidR="003A3AA5" w:rsidRPr="0087011F">
        <w:t xml:space="preserve">conduct 8 music performances in Port Loko, Bo, Moyamba, Kono, Kenema, </w:t>
      </w:r>
      <w:r>
        <w:t xml:space="preserve">and the entire </w:t>
      </w:r>
      <w:r w:rsidR="003A3AA5" w:rsidRPr="0087011F">
        <w:t>Western Area</w:t>
      </w:r>
      <w:r w:rsidR="009C51CB">
        <w:t>.</w:t>
      </w:r>
      <w:r w:rsidR="003A3AA5" w:rsidRPr="0087011F">
        <w:t xml:space="preserve"> </w:t>
      </w:r>
    </w:p>
    <w:p w:rsidR="003A3AA5" w:rsidRPr="0087011F" w:rsidRDefault="003A3AA5" w:rsidP="00FD2A31">
      <w:pPr>
        <w:pStyle w:val="ListParagraph"/>
        <w:numPr>
          <w:ilvl w:val="0"/>
          <w:numId w:val="32"/>
        </w:numPr>
        <w:jc w:val="both"/>
      </w:pPr>
      <w:r w:rsidRPr="0087011F">
        <w:t xml:space="preserve">A social mobilization self-assessment tool was also developed and finalized </w:t>
      </w:r>
      <w:r w:rsidR="00C6157E">
        <w:t xml:space="preserve">by </w:t>
      </w:r>
      <w:r w:rsidR="00C6157E" w:rsidRPr="0087011F">
        <w:t xml:space="preserve">District Social Mobilisation Coordinators </w:t>
      </w:r>
      <w:r w:rsidR="00EB4F1F">
        <w:t xml:space="preserve">and stakeholders </w:t>
      </w:r>
      <w:r w:rsidRPr="0087011F">
        <w:t xml:space="preserve">to conduct rapid in-campaign assessments and take corrective measures, if needed.  </w:t>
      </w:r>
    </w:p>
    <w:p w:rsidR="00FD2A31" w:rsidRDefault="00FD2A31" w:rsidP="00F96466">
      <w:pPr>
        <w:jc w:val="both"/>
      </w:pPr>
    </w:p>
    <w:p w:rsidR="00ED318B" w:rsidRPr="00D21369" w:rsidRDefault="00ED318B" w:rsidP="00D21369">
      <w:pPr>
        <w:spacing w:after="120"/>
        <w:jc w:val="both"/>
        <w:rPr>
          <w:i/>
        </w:rPr>
      </w:pPr>
      <w:r w:rsidRPr="00D21369">
        <w:rPr>
          <w:i/>
        </w:rPr>
        <w:t>Monitoring and Evaluation</w:t>
      </w:r>
    </w:p>
    <w:p w:rsidR="00DF71CD" w:rsidRDefault="00DF71CD" w:rsidP="00DF71CD">
      <w:pPr>
        <w:jc w:val="both"/>
      </w:pPr>
      <w:r w:rsidRPr="00ED318B">
        <w:t xml:space="preserve">The monitoring of LLIN distribution during MCHW </w:t>
      </w:r>
      <w:r>
        <w:t>was</w:t>
      </w:r>
      <w:r w:rsidRPr="00ED318B">
        <w:t xml:space="preserve"> integrated into the </w:t>
      </w:r>
      <w:r>
        <w:t xml:space="preserve">overall </w:t>
      </w:r>
      <w:r w:rsidRPr="00ED318B">
        <w:t xml:space="preserve">campaign monitoring system, which </w:t>
      </w:r>
      <w:r>
        <w:t xml:space="preserve">was </w:t>
      </w:r>
      <w:r w:rsidRPr="00ED318B">
        <w:t xml:space="preserve">carried out </w:t>
      </w:r>
      <w:r>
        <w:t xml:space="preserve"> </w:t>
      </w:r>
      <w:r w:rsidR="00365AE0">
        <w:t xml:space="preserve">by </w:t>
      </w:r>
      <w:r>
        <w:t xml:space="preserve">the distributors of the LLINs using  daily tally sheets to collect data and </w:t>
      </w:r>
      <w:r w:rsidRPr="00ED318B">
        <w:t>by independent monitors</w:t>
      </w:r>
      <w:r w:rsidR="00365AE0">
        <w:t xml:space="preserve"> using rapid survey technique</w:t>
      </w:r>
      <w:r>
        <w:t xml:space="preserve">.  </w:t>
      </w:r>
      <w:r w:rsidRPr="00ED318B">
        <w:t xml:space="preserve">The impact of this project will be assessed as part of the Joint Vision programme 6 at least one calendar year after the end of the project. </w:t>
      </w:r>
    </w:p>
    <w:p w:rsidR="00D21369" w:rsidRPr="00EB4987" w:rsidRDefault="00D21369" w:rsidP="00DF71CD">
      <w:pPr>
        <w:jc w:val="both"/>
      </w:pPr>
    </w:p>
    <w:p w:rsidR="00FD2A31" w:rsidRPr="00792776" w:rsidRDefault="00792776" w:rsidP="00D21369">
      <w:pPr>
        <w:spacing w:after="120"/>
        <w:rPr>
          <w:b/>
          <w:u w:val="single"/>
        </w:rPr>
      </w:pPr>
      <w:r w:rsidRPr="00792776">
        <w:rPr>
          <w:u w:val="single"/>
        </w:rPr>
        <w:t>Technical and operational support to malaria vector control interventions</w:t>
      </w:r>
      <w:r w:rsidR="00FD2A31" w:rsidRPr="00792776">
        <w:rPr>
          <w:u w:val="single"/>
        </w:rPr>
        <w:t xml:space="preserve"> – WHO</w:t>
      </w:r>
    </w:p>
    <w:p w:rsidR="00D21369" w:rsidRPr="00D21369" w:rsidRDefault="00D21369" w:rsidP="00D21369">
      <w:pPr>
        <w:spacing w:before="120" w:after="120"/>
        <w:jc w:val="both"/>
        <w:rPr>
          <w:i/>
        </w:rPr>
      </w:pPr>
      <w:r w:rsidRPr="00D21369">
        <w:rPr>
          <w:i/>
        </w:rPr>
        <w:t>Implementation</w:t>
      </w:r>
    </w:p>
    <w:p w:rsidR="00830202" w:rsidRPr="0087011F" w:rsidRDefault="00830202" w:rsidP="00FC00B0">
      <w:pPr>
        <w:spacing w:after="160"/>
        <w:jc w:val="both"/>
      </w:pPr>
      <w:r w:rsidRPr="00142DD4">
        <w:t>The project was managed under the overall coordinating responsibility</w:t>
      </w:r>
      <w:r>
        <w:t xml:space="preserve"> of WHO in collaboration with the Ministry of Health and Sanitation (National malaria control and Environmental Health programs). </w:t>
      </w:r>
    </w:p>
    <w:p w:rsidR="00830202" w:rsidRDefault="00830202" w:rsidP="00FC00B0">
      <w:pPr>
        <w:spacing w:after="160"/>
        <w:jc w:val="both"/>
        <w:rPr>
          <w:bCs/>
        </w:rPr>
      </w:pPr>
      <w:r>
        <w:t>Project Implementation focused on two interrelated strategies</w:t>
      </w:r>
      <w:r w:rsidR="009C51CB">
        <w:t>;</w:t>
      </w:r>
      <w:r>
        <w:t xml:space="preserve"> procurement and supply of </w:t>
      </w:r>
      <w:r>
        <w:rPr>
          <w:bCs/>
        </w:rPr>
        <w:t>s</w:t>
      </w:r>
      <w:r w:rsidRPr="00830202">
        <w:rPr>
          <w:bCs/>
        </w:rPr>
        <w:t>pray equipment,</w:t>
      </w:r>
      <w:r w:rsidRPr="00830202">
        <w:t xml:space="preserve"> </w:t>
      </w:r>
      <w:r>
        <w:rPr>
          <w:bCs/>
        </w:rPr>
        <w:t>insecticides and</w:t>
      </w:r>
      <w:r w:rsidRPr="00830202">
        <w:rPr>
          <w:bCs/>
        </w:rPr>
        <w:t xml:space="preserve"> </w:t>
      </w:r>
      <w:r w:rsidRPr="00830202">
        <w:t>PPE</w:t>
      </w:r>
      <w:r w:rsidRPr="00830202">
        <w:rPr>
          <w:bCs/>
        </w:rPr>
        <w:t xml:space="preserve"> </w:t>
      </w:r>
      <w:r>
        <w:rPr>
          <w:bCs/>
        </w:rPr>
        <w:t>(</w:t>
      </w:r>
      <w:r w:rsidRPr="00830202">
        <w:rPr>
          <w:lang w:eastAsia="en-ZW"/>
        </w:rPr>
        <w:t>Personal Protection Equipment</w:t>
      </w:r>
      <w:r>
        <w:rPr>
          <w:lang w:eastAsia="en-ZW"/>
        </w:rPr>
        <w:t>)</w:t>
      </w:r>
      <w:r w:rsidR="006E6DAD">
        <w:rPr>
          <w:lang w:eastAsia="en-ZW"/>
        </w:rPr>
        <w:t>,</w:t>
      </w:r>
      <w:r>
        <w:rPr>
          <w:bCs/>
        </w:rPr>
        <w:t xml:space="preserve"> </w:t>
      </w:r>
      <w:r>
        <w:t xml:space="preserve">complemented by activities to </w:t>
      </w:r>
      <w:r w:rsidRPr="00595606">
        <w:t>s</w:t>
      </w:r>
      <w:r>
        <w:t>trengthen</w:t>
      </w:r>
      <w:r w:rsidRPr="00595606">
        <w:t xml:space="preserve"> </w:t>
      </w:r>
      <w:r>
        <w:t xml:space="preserve">partners </w:t>
      </w:r>
      <w:r w:rsidRPr="00595606">
        <w:t>capacity for surveillance, monitoring and evaluation of malaria control interventions</w:t>
      </w:r>
      <w:r>
        <w:t xml:space="preserve">. </w:t>
      </w:r>
    </w:p>
    <w:p w:rsidR="005152D2" w:rsidRDefault="00792776" w:rsidP="005152D2">
      <w:pPr>
        <w:rPr>
          <w:bCs/>
        </w:rPr>
      </w:pPr>
      <w:r w:rsidRPr="005152D2">
        <w:t>Insecticide Residual Spraying was carried out throughout</w:t>
      </w:r>
      <w:r w:rsidR="005152D2" w:rsidRPr="005152D2">
        <w:t xml:space="preserve"> selected chiefdoms</w:t>
      </w:r>
      <w:r w:rsidRPr="005152D2">
        <w:t xml:space="preserve"> in the Western Urban area, Bombali, Kono and Bo districts</w:t>
      </w:r>
      <w:r w:rsidR="005152D2">
        <w:t xml:space="preserve">, reaching </w:t>
      </w:r>
      <w:r w:rsidR="003E3377">
        <w:t xml:space="preserve">34,476 homes. </w:t>
      </w:r>
    </w:p>
    <w:p w:rsidR="005152D2" w:rsidRPr="005152D2" w:rsidRDefault="005152D2" w:rsidP="005152D2">
      <w:pPr>
        <w:rPr>
          <w:bCs/>
        </w:rPr>
      </w:pPr>
    </w:p>
    <w:p w:rsidR="005628CE" w:rsidRPr="00D21369" w:rsidRDefault="005628CE" w:rsidP="00D21369">
      <w:pPr>
        <w:spacing w:after="120"/>
        <w:jc w:val="both"/>
        <w:rPr>
          <w:i/>
        </w:rPr>
      </w:pPr>
      <w:r w:rsidRPr="00D21369">
        <w:rPr>
          <w:i/>
        </w:rPr>
        <w:t>Monitoring and Evaluation</w:t>
      </w:r>
    </w:p>
    <w:p w:rsidR="00E003C0" w:rsidRDefault="001D055D" w:rsidP="00C632EF">
      <w:pPr>
        <w:spacing w:after="200"/>
        <w:jc w:val="both"/>
      </w:pPr>
      <w:r>
        <w:t xml:space="preserve">Throughout the </w:t>
      </w:r>
      <w:r w:rsidRPr="00C068F4">
        <w:t>pro</w:t>
      </w:r>
      <w:r>
        <w:t>ject’s implementation</w:t>
      </w:r>
      <w:r w:rsidR="00830202" w:rsidRPr="00830202">
        <w:t xml:space="preserve"> monitoring visits </w:t>
      </w:r>
      <w:r>
        <w:t xml:space="preserve">were conducted </w:t>
      </w:r>
      <w:r w:rsidR="00830202" w:rsidRPr="00830202">
        <w:t xml:space="preserve">by </w:t>
      </w:r>
      <w:r w:rsidRPr="00830202">
        <w:t>WHO teams including the WHO Representative visits to project sites</w:t>
      </w:r>
      <w:r w:rsidR="006E6DAD">
        <w:t>.  R</w:t>
      </w:r>
      <w:r>
        <w:t>egular monitoring was</w:t>
      </w:r>
      <w:r w:rsidR="006E6DAD">
        <w:t xml:space="preserve"> also</w:t>
      </w:r>
      <w:r>
        <w:t xml:space="preserve"> conducted by </w:t>
      </w:r>
      <w:r w:rsidRPr="00830202">
        <w:t xml:space="preserve">programme managers </w:t>
      </w:r>
      <w:r>
        <w:t>from the Ministry of Health ‘</w:t>
      </w:r>
      <w:r w:rsidR="00830202" w:rsidRPr="00830202">
        <w:t xml:space="preserve">Malaria control, environmental health </w:t>
      </w:r>
      <w:r>
        <w:t xml:space="preserve">and </w:t>
      </w:r>
      <w:r w:rsidR="00830202" w:rsidRPr="00830202">
        <w:t>neglected tropical diseases</w:t>
      </w:r>
      <w:r>
        <w:t>’</w:t>
      </w:r>
      <w:r w:rsidR="005152D2">
        <w:t>. The monitoring and evaluation methodologies adopted and rolled out were designed to strengthen partners’ capacity for malaria surveillance</w:t>
      </w:r>
      <w:r w:rsidR="006E6DAD">
        <w:t>. M</w:t>
      </w:r>
      <w:r w:rsidR="00E003C0">
        <w:t>ore specifically they included;</w:t>
      </w:r>
    </w:p>
    <w:p w:rsidR="001D055D" w:rsidRDefault="00830202" w:rsidP="00931A5E">
      <w:pPr>
        <w:pStyle w:val="ListParagraph"/>
        <w:numPr>
          <w:ilvl w:val="0"/>
          <w:numId w:val="33"/>
        </w:numPr>
        <w:spacing w:after="120" w:line="276" w:lineRule="auto"/>
        <w:contextualSpacing w:val="0"/>
      </w:pPr>
      <w:r w:rsidRPr="00830202">
        <w:t>Routine and complete reporting of malaria morbidity and mortality data to ensure effective monitoring and evaluati</w:t>
      </w:r>
      <w:r w:rsidR="006E6DAD">
        <w:t>on of progress in all districts.</w:t>
      </w:r>
    </w:p>
    <w:p w:rsidR="00830202" w:rsidRDefault="00830202" w:rsidP="00931A5E">
      <w:pPr>
        <w:pStyle w:val="ListParagraph"/>
        <w:numPr>
          <w:ilvl w:val="0"/>
          <w:numId w:val="33"/>
        </w:numPr>
        <w:spacing w:after="120"/>
        <w:ind w:right="46"/>
        <w:contextualSpacing w:val="0"/>
      </w:pPr>
      <w:r w:rsidRPr="00830202">
        <w:t>The malaria indicators of the routine health management information system were revis</w:t>
      </w:r>
      <w:r w:rsidR="00E003C0">
        <w:t>ed and updated</w:t>
      </w:r>
      <w:r w:rsidR="006E6DAD">
        <w:t>.</w:t>
      </w:r>
      <w:r w:rsidR="00E003C0">
        <w:t xml:space="preserve"> </w:t>
      </w:r>
      <w:r w:rsidRPr="00830202">
        <w:t xml:space="preserve"> </w:t>
      </w:r>
    </w:p>
    <w:p w:rsidR="001D055D" w:rsidRDefault="00830202" w:rsidP="00931A5E">
      <w:pPr>
        <w:pStyle w:val="NormalVerdana"/>
        <w:numPr>
          <w:ilvl w:val="0"/>
          <w:numId w:val="33"/>
        </w:numPr>
        <w:spacing w:after="120"/>
        <w:jc w:val="both"/>
      </w:pPr>
      <w:r w:rsidRPr="00830202">
        <w:lastRenderedPageBreak/>
        <w:t>A malaria</w:t>
      </w:r>
      <w:r w:rsidR="006E6DAD">
        <w:t xml:space="preserve"> b</w:t>
      </w:r>
      <w:r w:rsidR="00E003C0">
        <w:t xml:space="preserve">aseline survey was conducted </w:t>
      </w:r>
      <w:r w:rsidRPr="00830202">
        <w:t xml:space="preserve">to </w:t>
      </w:r>
      <w:r w:rsidR="006E6DAD">
        <w:t xml:space="preserve">obtain baseline data on malaria-related cases and deaths. </w:t>
      </w:r>
      <w:r w:rsidR="00E003C0">
        <w:t xml:space="preserve"> </w:t>
      </w:r>
      <w:r w:rsidR="006E6DAD">
        <w:t>T</w:t>
      </w:r>
      <w:r w:rsidR="00E003C0">
        <w:t xml:space="preserve">he baseline data will be tracked to </w:t>
      </w:r>
      <w:r w:rsidRPr="00830202">
        <w:t>determine whether there will be associated reduction in malaria morbidity and mortality as a result of the campaign</w:t>
      </w:r>
      <w:r w:rsidR="006E6DAD">
        <w:t>.</w:t>
      </w:r>
    </w:p>
    <w:p w:rsidR="001D055D" w:rsidRDefault="00830202" w:rsidP="00931A5E">
      <w:pPr>
        <w:pStyle w:val="NormalVerdana"/>
        <w:numPr>
          <w:ilvl w:val="0"/>
          <w:numId w:val="33"/>
        </w:numPr>
        <w:spacing w:after="120"/>
        <w:jc w:val="both"/>
      </w:pPr>
      <w:r w:rsidRPr="00830202">
        <w:t>Laboratory Tests we</w:t>
      </w:r>
      <w:r w:rsidR="00E003C0">
        <w:t>re carried out to evaluate the s</w:t>
      </w:r>
      <w:r w:rsidRPr="00830202">
        <w:t>usceptibility of four insecticides for potential use in the I</w:t>
      </w:r>
      <w:r w:rsidR="006E6DAD">
        <w:t xml:space="preserve">ndoor </w:t>
      </w:r>
      <w:r w:rsidRPr="00830202">
        <w:t>R</w:t>
      </w:r>
      <w:r w:rsidR="006E6DAD">
        <w:t xml:space="preserve">esidual </w:t>
      </w:r>
      <w:r w:rsidRPr="00830202">
        <w:t>S</w:t>
      </w:r>
      <w:r w:rsidR="006E6DAD">
        <w:t>praying (IRS)</w:t>
      </w:r>
      <w:r w:rsidRPr="00830202">
        <w:t xml:space="preserve"> Pilot programme</w:t>
      </w:r>
      <w:r w:rsidR="00E003C0">
        <w:t>,</w:t>
      </w:r>
      <w:r w:rsidRPr="00830202">
        <w:t xml:space="preserve"> </w:t>
      </w:r>
      <w:r w:rsidR="00E003C0">
        <w:t xml:space="preserve">with a corresponding </w:t>
      </w:r>
      <w:r w:rsidR="00E003C0" w:rsidRPr="00830202">
        <w:t xml:space="preserve">baseline data </w:t>
      </w:r>
      <w:r w:rsidR="00E003C0">
        <w:t xml:space="preserve">and </w:t>
      </w:r>
      <w:r w:rsidR="00E003C0" w:rsidRPr="00830202">
        <w:t xml:space="preserve">collation survey </w:t>
      </w:r>
      <w:r w:rsidR="00E003C0">
        <w:t>conducted</w:t>
      </w:r>
      <w:r w:rsidR="006E6DAD">
        <w:t>.</w:t>
      </w:r>
      <w:r w:rsidR="00E003C0">
        <w:t xml:space="preserve"> </w:t>
      </w:r>
    </w:p>
    <w:p w:rsidR="00E003C0" w:rsidRPr="00EB4987" w:rsidRDefault="00E003C0" w:rsidP="00E003C0">
      <w:pPr>
        <w:autoSpaceDE w:val="0"/>
        <w:autoSpaceDN w:val="0"/>
        <w:adjustRightInd w:val="0"/>
        <w:rPr>
          <w:sz w:val="16"/>
          <w:szCs w:val="16"/>
        </w:rPr>
      </w:pPr>
    </w:p>
    <w:p w:rsidR="0068622F" w:rsidRDefault="00830202" w:rsidP="00D21369">
      <w:pPr>
        <w:pStyle w:val="ListParagraph"/>
        <w:numPr>
          <w:ilvl w:val="0"/>
          <w:numId w:val="33"/>
        </w:numPr>
        <w:spacing w:line="276" w:lineRule="auto"/>
        <w:contextualSpacing w:val="0"/>
      </w:pPr>
      <w:r w:rsidRPr="00830202">
        <w:t>Group discussions w</w:t>
      </w:r>
      <w:r w:rsidR="00E003C0">
        <w:t>ere held within the beneficiary</w:t>
      </w:r>
      <w:r w:rsidRPr="00830202">
        <w:t xml:space="preserve"> commu</w:t>
      </w:r>
      <w:r w:rsidR="00E003C0">
        <w:t>nities</w:t>
      </w:r>
      <w:r w:rsidR="00900D9A">
        <w:t xml:space="preserve"> at intervals after operations </w:t>
      </w:r>
      <w:r w:rsidR="00E003C0">
        <w:t>of two weeks  and two months</w:t>
      </w:r>
      <w:r w:rsidR="006E6DAD">
        <w:t>.</w:t>
      </w:r>
      <w:r w:rsidR="00E003C0">
        <w:t xml:space="preserve"> </w:t>
      </w:r>
    </w:p>
    <w:p w:rsidR="00D21369" w:rsidRDefault="00D21369" w:rsidP="00D21369">
      <w:pPr>
        <w:spacing w:line="276" w:lineRule="auto"/>
      </w:pPr>
    </w:p>
    <w:p w:rsidR="00E003C0" w:rsidRPr="00A15E30" w:rsidRDefault="00E003C0" w:rsidP="000B017F">
      <w:pPr>
        <w:spacing w:after="120"/>
        <w:rPr>
          <w:u w:val="single"/>
        </w:rPr>
      </w:pPr>
      <w:r w:rsidRPr="00595606">
        <w:rPr>
          <w:u w:val="single"/>
        </w:rPr>
        <w:t>Nutritional Support to People living with HIV and TB – WFP</w:t>
      </w:r>
    </w:p>
    <w:p w:rsidR="00D21369" w:rsidRPr="00D21369" w:rsidRDefault="00D21369" w:rsidP="00D21369">
      <w:pPr>
        <w:spacing w:before="120" w:after="120"/>
        <w:jc w:val="both"/>
        <w:rPr>
          <w:i/>
        </w:rPr>
      </w:pPr>
      <w:r w:rsidRPr="00D21369">
        <w:rPr>
          <w:i/>
        </w:rPr>
        <w:t>Implementation</w:t>
      </w:r>
    </w:p>
    <w:p w:rsidR="004F56E0" w:rsidRPr="0087011F" w:rsidRDefault="004F56E0" w:rsidP="00FC00B0">
      <w:pPr>
        <w:spacing w:after="160"/>
        <w:jc w:val="both"/>
      </w:pPr>
      <w:r w:rsidRPr="00142DD4">
        <w:t>The project was managed under the overall coordinating responsibility</w:t>
      </w:r>
      <w:r>
        <w:t xml:space="preserve"> of W</w:t>
      </w:r>
      <w:r w:rsidR="005938B0">
        <w:t>FP</w:t>
      </w:r>
      <w:r>
        <w:t xml:space="preserve"> in collaboration with the Min</w:t>
      </w:r>
      <w:r w:rsidR="00774CA1">
        <w:t>istry of Health &amp;</w:t>
      </w:r>
      <w:r>
        <w:t xml:space="preserve"> Sanitation </w:t>
      </w:r>
      <w:r w:rsidR="00D0441A">
        <w:t xml:space="preserve">– MOHS </w:t>
      </w:r>
      <w:r>
        <w:t>(</w:t>
      </w:r>
      <w:r w:rsidR="00D0441A">
        <w:t xml:space="preserve">Food and Nutrition Unit and </w:t>
      </w:r>
      <w:r>
        <w:t xml:space="preserve">National AIDS Control Programme). </w:t>
      </w:r>
    </w:p>
    <w:p w:rsidR="00F70ADE" w:rsidRDefault="004F56E0" w:rsidP="00FC00B0">
      <w:pPr>
        <w:spacing w:after="160"/>
        <w:jc w:val="both"/>
      </w:pPr>
      <w:r>
        <w:t>WFP was responsible for the procurement and shipping of food commodities to the desig</w:t>
      </w:r>
      <w:r w:rsidR="00774CA1">
        <w:t xml:space="preserve">nated </w:t>
      </w:r>
      <w:r w:rsidR="005938B0">
        <w:t>final</w:t>
      </w:r>
      <w:r w:rsidR="00774CA1">
        <w:t xml:space="preserve"> delivery points including centres </w:t>
      </w:r>
      <w:r w:rsidR="005938B0">
        <w:t>of</w:t>
      </w:r>
      <w:r w:rsidR="00774CA1">
        <w:t xml:space="preserve"> </w:t>
      </w:r>
      <w:r w:rsidRPr="00774CA1">
        <w:t>A</w:t>
      </w:r>
      <w:r w:rsidR="00774CA1" w:rsidRPr="00774CA1">
        <w:t>nti-retro viral</w:t>
      </w:r>
      <w:r w:rsidR="00774CA1">
        <w:t xml:space="preserve"> </w:t>
      </w:r>
      <w:r w:rsidR="005938B0">
        <w:t xml:space="preserve">treatment </w:t>
      </w:r>
      <w:r w:rsidR="00774CA1">
        <w:t>(ART)</w:t>
      </w:r>
      <w:r w:rsidRPr="00774CA1">
        <w:t xml:space="preserve">, </w:t>
      </w:r>
      <w:r w:rsidR="00774CA1" w:rsidRPr="00774CA1">
        <w:t>Directly Observed Treatment</w:t>
      </w:r>
      <w:r w:rsidR="00774CA1">
        <w:t xml:space="preserve"> (DOTS)</w:t>
      </w:r>
      <w:r w:rsidR="00774CA1" w:rsidRPr="00774CA1">
        <w:t xml:space="preserve"> and</w:t>
      </w:r>
      <w:r w:rsidRPr="00774CA1">
        <w:t xml:space="preserve"> P</w:t>
      </w:r>
      <w:r w:rsidR="00774CA1" w:rsidRPr="00774CA1">
        <w:t xml:space="preserve">revention of Mother-to-Child </w:t>
      </w:r>
      <w:r w:rsidR="00774CA1">
        <w:t xml:space="preserve">(PMTCT) and to </w:t>
      </w:r>
      <w:r w:rsidRPr="00774CA1">
        <w:t xml:space="preserve">WFP </w:t>
      </w:r>
      <w:r w:rsidR="00774CA1">
        <w:t>warehouse storage facilities</w:t>
      </w:r>
      <w:r>
        <w:t xml:space="preserve">. </w:t>
      </w:r>
      <w:r w:rsidR="00D0441A">
        <w:t>Food was procured locally and internationally.</w:t>
      </w:r>
      <w:r w:rsidR="00F70ADE" w:rsidRPr="00F70ADE">
        <w:rPr>
          <w:rFonts w:cstheme="minorHAnsi"/>
          <w:color w:val="000000"/>
          <w:lang w:eastAsia="en-GB"/>
        </w:rPr>
        <w:t>WFP worked closely wit</w:t>
      </w:r>
      <w:r w:rsidR="006E6DAD">
        <w:rPr>
          <w:rFonts w:cstheme="minorHAnsi"/>
          <w:color w:val="000000"/>
          <w:lang w:eastAsia="en-GB"/>
        </w:rPr>
        <w:t>h c</w:t>
      </w:r>
      <w:r w:rsidR="00F70ADE" w:rsidRPr="00F70ADE">
        <w:rPr>
          <w:rFonts w:cstheme="minorHAnsi"/>
          <w:color w:val="000000"/>
          <w:lang w:eastAsia="en-GB"/>
        </w:rPr>
        <w:t>are and support groups and TB Peripheral Health Units (PHUs) who</w:t>
      </w:r>
      <w:r w:rsidR="00F70ADE">
        <w:t xml:space="preserve"> were responsible for the identification of the beneficiaries and final distribution of the food to the beneficiaries. WFP also provided technical assistance to government and trained partners in the implementation of the nutrition programme.</w:t>
      </w:r>
    </w:p>
    <w:p w:rsidR="004F56E0" w:rsidRDefault="00D0441A" w:rsidP="004F56E0">
      <w:pPr>
        <w:jc w:val="both"/>
      </w:pPr>
      <w:r>
        <w:t>The Network of HIV Positives in Sierra Leone (NETHIPS)</w:t>
      </w:r>
      <w:r w:rsidR="004F56E0">
        <w:t xml:space="preserve"> was fully involved </w:t>
      </w:r>
      <w:r>
        <w:t>in</w:t>
      </w:r>
      <w:r w:rsidR="004F56E0">
        <w:t xml:space="preserve"> the delivery </w:t>
      </w:r>
      <w:r>
        <w:t xml:space="preserve">process </w:t>
      </w:r>
      <w:r w:rsidR="004F56E0">
        <w:t xml:space="preserve">of the food to the beneficiaries </w:t>
      </w:r>
      <w:r>
        <w:t>through designated</w:t>
      </w:r>
      <w:r w:rsidR="004F56E0">
        <w:t xml:space="preserve"> care and support institutions.</w:t>
      </w:r>
    </w:p>
    <w:p w:rsidR="00D0441A" w:rsidRDefault="004F56E0" w:rsidP="004F56E0">
      <w:r>
        <w:t xml:space="preserve">A tripartite agreement was signed between WFP, </w:t>
      </w:r>
      <w:r w:rsidR="00D0441A">
        <w:t>MOHS</w:t>
      </w:r>
      <w:r>
        <w:t xml:space="preserve"> and N</w:t>
      </w:r>
      <w:r w:rsidR="00D0441A">
        <w:t>ET</w:t>
      </w:r>
      <w:r>
        <w:t xml:space="preserve">HIPs.  </w:t>
      </w:r>
    </w:p>
    <w:p w:rsidR="00F70ADE" w:rsidRDefault="00F70ADE" w:rsidP="004F56E0"/>
    <w:p w:rsidR="00D0441A" w:rsidRPr="00D21369" w:rsidRDefault="00D0441A" w:rsidP="00D21369">
      <w:pPr>
        <w:spacing w:after="120"/>
        <w:jc w:val="both"/>
        <w:rPr>
          <w:i/>
        </w:rPr>
      </w:pPr>
      <w:r w:rsidRPr="00D21369">
        <w:rPr>
          <w:i/>
        </w:rPr>
        <w:t>Monitoring and Evaluation</w:t>
      </w:r>
    </w:p>
    <w:p w:rsidR="0067213A" w:rsidRDefault="00D0441A" w:rsidP="00F96466">
      <w:pPr>
        <w:jc w:val="both"/>
      </w:pPr>
      <w:r>
        <w:t xml:space="preserve">Throughout the </w:t>
      </w:r>
      <w:r w:rsidRPr="00C068F4">
        <w:t>pro</w:t>
      </w:r>
      <w:r>
        <w:t>ject’s implementation q</w:t>
      </w:r>
      <w:r w:rsidR="004F56E0">
        <w:t xml:space="preserve">uarterly supervision </w:t>
      </w:r>
      <w:r w:rsidR="003E3377">
        <w:t xml:space="preserve">and </w:t>
      </w:r>
      <w:r w:rsidR="004F56E0">
        <w:t xml:space="preserve">monitoring </w:t>
      </w:r>
      <w:r w:rsidR="003E3377">
        <w:t xml:space="preserve">visits </w:t>
      </w:r>
      <w:r w:rsidR="004F56E0">
        <w:t>w</w:t>
      </w:r>
      <w:r w:rsidR="003E3377">
        <w:t xml:space="preserve">ere conducted </w:t>
      </w:r>
      <w:r w:rsidR="004F56E0">
        <w:t xml:space="preserve">jointly </w:t>
      </w:r>
      <w:r w:rsidR="003E3377">
        <w:t>with WFP,</w:t>
      </w:r>
      <w:r w:rsidR="004F56E0">
        <w:t xml:space="preserve"> </w:t>
      </w:r>
      <w:r w:rsidR="003E3377">
        <w:t>MOHS</w:t>
      </w:r>
      <w:r w:rsidR="004F56E0">
        <w:t xml:space="preserve"> and N</w:t>
      </w:r>
      <w:r w:rsidR="006E6DAD">
        <w:t>ETHIPS and</w:t>
      </w:r>
      <w:r w:rsidR="003E3377">
        <w:t xml:space="preserve"> in addition</w:t>
      </w:r>
      <w:r w:rsidR="006E6DAD">
        <w:t>,</w:t>
      </w:r>
      <w:r w:rsidR="003E3377">
        <w:t xml:space="preserve"> both MOHS and NETHIPS conducted</w:t>
      </w:r>
      <w:r w:rsidR="004F56E0">
        <w:t xml:space="preserve"> joint monthly monitoring </w:t>
      </w:r>
      <w:r w:rsidR="003E3377">
        <w:t xml:space="preserve">visits </w:t>
      </w:r>
      <w:r w:rsidR="004F56E0">
        <w:t>as well as individual monitoring. Both partners were reporting jointly on the programme achievements. WFP in partnership with AFRICARE work</w:t>
      </w:r>
      <w:r w:rsidR="00246DB5">
        <w:t>ed</w:t>
      </w:r>
      <w:r w:rsidR="004F56E0">
        <w:t xml:space="preserve"> </w:t>
      </w:r>
      <w:r w:rsidR="003E3377">
        <w:t xml:space="preserve">closely with </w:t>
      </w:r>
      <w:r w:rsidR="00246DB5">
        <w:t xml:space="preserve">the </w:t>
      </w:r>
      <w:r w:rsidR="003E3377">
        <w:t>partners in order</w:t>
      </w:r>
      <w:r w:rsidR="004F56E0">
        <w:t xml:space="preserve"> to complement our effort for the provision of livelihood</w:t>
      </w:r>
      <w:r w:rsidR="003E3377">
        <w:t xml:space="preserve">. </w:t>
      </w:r>
    </w:p>
    <w:p w:rsidR="00F70ADE" w:rsidRDefault="00F70ADE" w:rsidP="00F96466">
      <w:pPr>
        <w:jc w:val="both"/>
      </w:pPr>
    </w:p>
    <w:p w:rsidR="00931A5E" w:rsidRDefault="00931A5E" w:rsidP="00F96466">
      <w:pPr>
        <w:jc w:val="both"/>
      </w:pPr>
    </w:p>
    <w:p w:rsidR="0067213A" w:rsidRPr="000B017F" w:rsidRDefault="000B017F" w:rsidP="000B017F">
      <w:pPr>
        <w:pStyle w:val="NoSpacing"/>
        <w:numPr>
          <w:ilvl w:val="0"/>
          <w:numId w:val="42"/>
        </w:numPr>
        <w:rPr>
          <w:rFonts w:ascii="Times New Roman" w:hAnsi="Times New Roman"/>
          <w:b/>
          <w:sz w:val="24"/>
          <w:szCs w:val="24"/>
        </w:rPr>
      </w:pPr>
      <w:r w:rsidRPr="000B017F">
        <w:rPr>
          <w:rFonts w:ascii="Times New Roman" w:hAnsi="Times New Roman"/>
          <w:b/>
          <w:sz w:val="24"/>
          <w:szCs w:val="24"/>
        </w:rPr>
        <w:t xml:space="preserve"> </w:t>
      </w:r>
      <w:r w:rsidR="0067213A" w:rsidRPr="000B017F">
        <w:rPr>
          <w:rFonts w:ascii="Times New Roman" w:hAnsi="Times New Roman"/>
          <w:b/>
          <w:sz w:val="24"/>
          <w:szCs w:val="24"/>
        </w:rPr>
        <w:t xml:space="preserve">Results </w:t>
      </w:r>
    </w:p>
    <w:p w:rsidR="00F0778D" w:rsidRDefault="00F0778D" w:rsidP="00713D2E">
      <w:pPr>
        <w:jc w:val="both"/>
      </w:pPr>
    </w:p>
    <w:p w:rsidR="00713D2E" w:rsidRPr="00713D2E" w:rsidRDefault="00713D2E" w:rsidP="00713D2E">
      <w:pPr>
        <w:jc w:val="both"/>
      </w:pPr>
      <w:r w:rsidRPr="00713D2E">
        <w:t xml:space="preserve">With regard to the project deliverables agreed by the agencies UNICEF, WHO and WFP, the early indications prove the projects to be successful in implementation, with particular reference to the </w:t>
      </w:r>
      <w:r>
        <w:t xml:space="preserve">UN </w:t>
      </w:r>
      <w:r w:rsidRPr="00713D2E">
        <w:t xml:space="preserve">Joint Vision </w:t>
      </w:r>
      <w:r>
        <w:t xml:space="preserve">Development Goal; </w:t>
      </w:r>
      <w:r w:rsidRPr="00713D2E">
        <w:rPr>
          <w:bCs/>
          <w:i/>
        </w:rPr>
        <w:t xml:space="preserve">To </w:t>
      </w:r>
      <w:r w:rsidRPr="00713D2E">
        <w:rPr>
          <w:i/>
          <w:spacing w:val="-3"/>
        </w:rPr>
        <w:t>improve the national health services and in particular, a national infectious disease control programme that will contribute to the control of the most dangerous infectious diseases for Sierra Leone: malaria and HIV/AIDS</w:t>
      </w:r>
      <w:r w:rsidR="006E6DAD">
        <w:rPr>
          <w:i/>
          <w:spacing w:val="-3"/>
        </w:rPr>
        <w:t>.</w:t>
      </w:r>
    </w:p>
    <w:p w:rsidR="003E3377" w:rsidRDefault="003E3377" w:rsidP="00F96466">
      <w:pPr>
        <w:jc w:val="both"/>
      </w:pPr>
    </w:p>
    <w:p w:rsidR="00D21369" w:rsidRDefault="00D21369" w:rsidP="00F96466">
      <w:pPr>
        <w:jc w:val="both"/>
      </w:pPr>
    </w:p>
    <w:p w:rsidR="00D21369" w:rsidRDefault="00D21369" w:rsidP="00F96466">
      <w:pPr>
        <w:jc w:val="both"/>
      </w:pPr>
    </w:p>
    <w:p w:rsidR="00644A26" w:rsidRPr="000B017F" w:rsidRDefault="00644A26" w:rsidP="000B017F">
      <w:pPr>
        <w:spacing w:after="120"/>
        <w:rPr>
          <w:u w:val="single"/>
        </w:rPr>
      </w:pPr>
      <w:r w:rsidRPr="000D7614">
        <w:rPr>
          <w:u w:val="single"/>
        </w:rPr>
        <w:lastRenderedPageBreak/>
        <w:t>Malaria Control, LLINs Universal Coverage – UNICEF</w:t>
      </w:r>
    </w:p>
    <w:p w:rsidR="009F0F49" w:rsidRDefault="009F0F49" w:rsidP="00FC00B0">
      <w:pPr>
        <w:spacing w:after="160"/>
        <w:jc w:val="both"/>
      </w:pPr>
      <w:r w:rsidRPr="0087011F">
        <w:t>The M</w:t>
      </w:r>
      <w:r>
        <w:t xml:space="preserve">aternal and </w:t>
      </w:r>
      <w:r w:rsidRPr="0087011F">
        <w:t>C</w:t>
      </w:r>
      <w:r>
        <w:t xml:space="preserve">hild Health </w:t>
      </w:r>
      <w:r w:rsidRPr="0087011F">
        <w:t>W</w:t>
      </w:r>
      <w:r>
        <w:t>eek</w:t>
      </w:r>
      <w:r w:rsidRPr="0087011F">
        <w:t xml:space="preserve"> </w:t>
      </w:r>
      <w:r>
        <w:t xml:space="preserve">(MCHW) </w:t>
      </w:r>
      <w:r w:rsidRPr="0087011F">
        <w:t>distribution campaign was comprehensi</w:t>
      </w:r>
      <w:r>
        <w:t>ve and logistically challenging</w:t>
      </w:r>
      <w:r w:rsidRPr="0087011F">
        <w:t xml:space="preserve"> and required a high level of commitment from all partners. </w:t>
      </w:r>
    </w:p>
    <w:p w:rsidR="009F0F49" w:rsidRDefault="009F0F49" w:rsidP="00FC00B0">
      <w:pPr>
        <w:spacing w:after="160"/>
        <w:jc w:val="both"/>
      </w:pPr>
      <w:r w:rsidRPr="0087011F">
        <w:t xml:space="preserve">The distribution </w:t>
      </w:r>
      <w:r>
        <w:t>campaign itself extended</w:t>
      </w:r>
      <w:r w:rsidRPr="0087011F">
        <w:t xml:space="preserve"> far beyond the period of the MCHW, and includes a number of initiatives which will ensure tha</w:t>
      </w:r>
      <w:r>
        <w:t xml:space="preserve">t community members know how to properly </w:t>
      </w:r>
      <w:r w:rsidRPr="0087011F">
        <w:t xml:space="preserve">use </w:t>
      </w:r>
      <w:r>
        <w:t xml:space="preserve">the </w:t>
      </w:r>
      <w:r w:rsidRPr="0087011F">
        <w:t>bed</w:t>
      </w:r>
      <w:r>
        <w:t>-</w:t>
      </w:r>
      <w:r w:rsidRPr="0087011F">
        <w:t xml:space="preserve">nets. UNICEF and partners will </w:t>
      </w:r>
      <w:r>
        <w:t>continue</w:t>
      </w:r>
      <w:r w:rsidRPr="0087011F">
        <w:t xml:space="preserve"> following up on communities to make sure that people continue to use bed</w:t>
      </w:r>
      <w:r>
        <w:t>-</w:t>
      </w:r>
      <w:r w:rsidRPr="0087011F">
        <w:t xml:space="preserve">nets long after the initial distribution. </w:t>
      </w:r>
    </w:p>
    <w:p w:rsidR="009F0F49" w:rsidRDefault="00F0778D" w:rsidP="00D21369">
      <w:pPr>
        <w:spacing w:after="120"/>
        <w:jc w:val="both"/>
      </w:pPr>
      <w:r>
        <w:t xml:space="preserve">The key output results of </w:t>
      </w:r>
      <w:r w:rsidR="009F0F49" w:rsidRPr="0087011F">
        <w:t>UNICEF’s campaign included:</w:t>
      </w:r>
    </w:p>
    <w:p w:rsidR="00D21369" w:rsidRDefault="00D21369" w:rsidP="00D21369">
      <w:pPr>
        <w:pStyle w:val="NormalVerdana"/>
        <w:numPr>
          <w:ilvl w:val="0"/>
          <w:numId w:val="33"/>
        </w:numPr>
        <w:spacing w:after="120"/>
        <w:jc w:val="both"/>
      </w:pPr>
      <w:r>
        <w:t>Distribution</w:t>
      </w:r>
      <w:r w:rsidR="00DA4A4B">
        <w:t xml:space="preserve"> in collaboration with WHO of </w:t>
      </w:r>
      <w:r>
        <w:t>over</w:t>
      </w:r>
      <w:r w:rsidR="00F0778D" w:rsidRPr="00F0778D">
        <w:t xml:space="preserve"> three million long</w:t>
      </w:r>
      <w:r w:rsidR="00DA4A4B">
        <w:t>-</w:t>
      </w:r>
      <w:r w:rsidR="00F0778D" w:rsidRPr="00F0778D">
        <w:t>lasting insecticide-tre</w:t>
      </w:r>
      <w:r>
        <w:t xml:space="preserve">ated mosquito nets (LLINs) </w:t>
      </w:r>
      <w:r w:rsidR="00F0778D" w:rsidRPr="00F0778D">
        <w:t>to every household in Sierra Leone</w:t>
      </w:r>
      <w:r w:rsidR="00DA4A4B">
        <w:t xml:space="preserve">. The national </w:t>
      </w:r>
      <w:r w:rsidR="00F0778D" w:rsidRPr="00F0778D">
        <w:t>target of one net for two people (up to a maximum of 3 nets per household based on an average household size of six people)</w:t>
      </w:r>
      <w:r w:rsidR="00DA4A4B">
        <w:t xml:space="preserve"> was achieved</w:t>
      </w:r>
      <w:r w:rsidR="00F0778D" w:rsidRPr="00F0778D">
        <w:t>.</w:t>
      </w:r>
    </w:p>
    <w:p w:rsidR="00D21369" w:rsidRDefault="00D21369" w:rsidP="00D21369">
      <w:pPr>
        <w:pStyle w:val="NormalVerdana"/>
        <w:numPr>
          <w:ilvl w:val="0"/>
          <w:numId w:val="33"/>
        </w:numPr>
        <w:spacing w:after="120"/>
        <w:jc w:val="both"/>
      </w:pPr>
      <w:r>
        <w:t xml:space="preserve">Organisation of </w:t>
      </w:r>
      <w:r w:rsidR="009F0F49" w:rsidRPr="0087011F">
        <w:t>district and national micro-planning activities</w:t>
      </w:r>
    </w:p>
    <w:p w:rsidR="009F0F49" w:rsidRPr="0087011F" w:rsidRDefault="00D21369" w:rsidP="00D21369">
      <w:pPr>
        <w:pStyle w:val="NormalVerdana"/>
        <w:numPr>
          <w:ilvl w:val="0"/>
          <w:numId w:val="33"/>
        </w:numPr>
        <w:spacing w:after="120"/>
        <w:jc w:val="both"/>
      </w:pPr>
      <w:r>
        <w:t>Organisation of</w:t>
      </w:r>
      <w:r w:rsidR="009F0F49" w:rsidRPr="0087011F">
        <w:t xml:space="preserve"> trainings for: </w:t>
      </w:r>
    </w:p>
    <w:p w:rsidR="009F0F49" w:rsidRPr="0087011F" w:rsidRDefault="009F0F49" w:rsidP="009F0F49">
      <w:pPr>
        <w:numPr>
          <w:ilvl w:val="1"/>
          <w:numId w:val="14"/>
        </w:numPr>
        <w:jc w:val="both"/>
      </w:pPr>
      <w:r w:rsidRPr="0087011F">
        <w:t xml:space="preserve">Warehouse staff </w:t>
      </w:r>
    </w:p>
    <w:p w:rsidR="009F0F49" w:rsidRPr="0087011F" w:rsidRDefault="009F0F49" w:rsidP="009F0F49">
      <w:pPr>
        <w:numPr>
          <w:ilvl w:val="1"/>
          <w:numId w:val="14"/>
        </w:numPr>
        <w:jc w:val="both"/>
      </w:pPr>
      <w:r w:rsidRPr="0087011F">
        <w:t xml:space="preserve">National supervisors </w:t>
      </w:r>
    </w:p>
    <w:p w:rsidR="009F0F49" w:rsidRPr="0087011F" w:rsidRDefault="009F0F49" w:rsidP="009F0F49">
      <w:pPr>
        <w:numPr>
          <w:ilvl w:val="1"/>
          <w:numId w:val="14"/>
        </w:numPr>
        <w:jc w:val="both"/>
      </w:pPr>
      <w:r w:rsidRPr="0087011F">
        <w:t xml:space="preserve">Team supervisors </w:t>
      </w:r>
    </w:p>
    <w:p w:rsidR="009F0F49" w:rsidRPr="0087011F" w:rsidRDefault="009F0F49" w:rsidP="009F0F49">
      <w:pPr>
        <w:numPr>
          <w:ilvl w:val="1"/>
          <w:numId w:val="14"/>
        </w:numPr>
        <w:jc w:val="both"/>
      </w:pPr>
      <w:r w:rsidRPr="0087011F">
        <w:t xml:space="preserve">Vaccinators/distributors </w:t>
      </w:r>
    </w:p>
    <w:p w:rsidR="009F0F49" w:rsidRPr="0087011F" w:rsidRDefault="009F0F49" w:rsidP="009F0F49">
      <w:pPr>
        <w:numPr>
          <w:ilvl w:val="1"/>
          <w:numId w:val="14"/>
        </w:numPr>
        <w:jc w:val="both"/>
      </w:pPr>
      <w:r w:rsidRPr="0087011F">
        <w:t xml:space="preserve">Independent monitors </w:t>
      </w:r>
    </w:p>
    <w:p w:rsidR="009F0F49" w:rsidRPr="0087011F" w:rsidRDefault="009F0F49" w:rsidP="00D21369">
      <w:pPr>
        <w:numPr>
          <w:ilvl w:val="1"/>
          <w:numId w:val="14"/>
        </w:numPr>
        <w:spacing w:after="120"/>
        <w:jc w:val="both"/>
      </w:pPr>
      <w:r w:rsidRPr="0087011F">
        <w:t>Hang-up campaign volunteers</w:t>
      </w:r>
    </w:p>
    <w:p w:rsidR="00D21369" w:rsidRDefault="009F0F49" w:rsidP="00D21369">
      <w:pPr>
        <w:pStyle w:val="NormalVerdana"/>
        <w:numPr>
          <w:ilvl w:val="0"/>
          <w:numId w:val="33"/>
        </w:numPr>
        <w:spacing w:after="120"/>
        <w:jc w:val="both"/>
      </w:pPr>
      <w:r w:rsidRPr="0087011F">
        <w:t xml:space="preserve">Mobilization of implementation resources </w:t>
      </w:r>
    </w:p>
    <w:p w:rsidR="00D21369" w:rsidRDefault="009F0F49" w:rsidP="00D21369">
      <w:pPr>
        <w:pStyle w:val="NormalVerdana"/>
        <w:numPr>
          <w:ilvl w:val="0"/>
          <w:numId w:val="33"/>
        </w:numPr>
        <w:spacing w:after="120"/>
        <w:jc w:val="both"/>
      </w:pPr>
      <w:r w:rsidRPr="0087011F">
        <w:t xml:space="preserve">Launching </w:t>
      </w:r>
      <w:r w:rsidR="00D21369">
        <w:t xml:space="preserve">of </w:t>
      </w:r>
      <w:r w:rsidRPr="0087011F">
        <w:t>a ‘Health Fair Day’ at national, district and chiefdom levels</w:t>
      </w:r>
      <w:r w:rsidR="00D21369">
        <w:t xml:space="preserve"> </w:t>
      </w:r>
    </w:p>
    <w:p w:rsidR="00D21369" w:rsidRDefault="00D21369" w:rsidP="00D21369">
      <w:pPr>
        <w:pStyle w:val="NormalVerdana"/>
        <w:numPr>
          <w:ilvl w:val="0"/>
          <w:numId w:val="33"/>
        </w:numPr>
        <w:spacing w:after="120"/>
        <w:jc w:val="both"/>
      </w:pPr>
      <w:r>
        <w:t>Organisation of</w:t>
      </w:r>
      <w:r w:rsidR="009F0F49" w:rsidRPr="0087011F">
        <w:t xml:space="preserve"> social mobilization activities to spread messages about malaria and disease prevention </w:t>
      </w:r>
    </w:p>
    <w:p w:rsidR="00D21369" w:rsidRDefault="009F0F49" w:rsidP="00890622">
      <w:pPr>
        <w:pStyle w:val="NormalVerdana"/>
        <w:numPr>
          <w:ilvl w:val="0"/>
          <w:numId w:val="33"/>
        </w:numPr>
        <w:jc w:val="both"/>
      </w:pPr>
      <w:r w:rsidRPr="0087011F">
        <w:t xml:space="preserve">Implementation and delivery of MCHW service package (LLINs distribution, OPV immunization, Vitamin A supplements, and de-worming tablets) </w:t>
      </w:r>
    </w:p>
    <w:p w:rsidR="00890622" w:rsidRDefault="00890622" w:rsidP="00890622">
      <w:pPr>
        <w:pStyle w:val="NormalVerdana"/>
        <w:spacing w:after="120"/>
        <w:jc w:val="both"/>
      </w:pPr>
    </w:p>
    <w:p w:rsidR="00890622" w:rsidRPr="00890622" w:rsidRDefault="0076474E" w:rsidP="00890622">
      <w:pPr>
        <w:pStyle w:val="NormalVerdana"/>
        <w:spacing w:after="120"/>
        <w:jc w:val="both"/>
        <w:rPr>
          <w:i/>
        </w:rPr>
      </w:pPr>
      <w:r>
        <w:rPr>
          <w:i/>
        </w:rPr>
        <w:t>O</w:t>
      </w:r>
      <w:r w:rsidR="00890622" w:rsidRPr="00890622">
        <w:rPr>
          <w:i/>
        </w:rPr>
        <w:t>utcomes</w:t>
      </w:r>
    </w:p>
    <w:p w:rsidR="00D21369" w:rsidRDefault="00D21369" w:rsidP="00890622">
      <w:pPr>
        <w:pStyle w:val="NormalVerdana"/>
        <w:numPr>
          <w:ilvl w:val="0"/>
          <w:numId w:val="45"/>
        </w:numPr>
        <w:spacing w:after="120"/>
        <w:jc w:val="both"/>
      </w:pPr>
      <w:r>
        <w:t>According to monitoring r</w:t>
      </w:r>
      <w:r w:rsidR="00F0778D">
        <w:t>eports, a</w:t>
      </w:r>
      <w:r w:rsidR="009F0F49" w:rsidRPr="0087011F">
        <w:t xml:space="preserve">s a result of strategic social </w:t>
      </w:r>
      <w:r w:rsidR="00F0778D" w:rsidRPr="0087011F">
        <w:t>mobilization</w:t>
      </w:r>
      <w:r w:rsidR="009F0F49" w:rsidRPr="0087011F">
        <w:t xml:space="preserve"> and communication activities and closer monitoring of funds allocated to districts for implementation, parents</w:t>
      </w:r>
      <w:r w:rsidR="006E6DAD">
        <w:t>’</w:t>
      </w:r>
      <w:r w:rsidR="009F0F49" w:rsidRPr="0087011F">
        <w:t xml:space="preserve"> awareness of the campaign nationwide was very high at 88%. </w:t>
      </w:r>
    </w:p>
    <w:p w:rsidR="00D21369" w:rsidRDefault="009F0F49" w:rsidP="00890622">
      <w:pPr>
        <w:pStyle w:val="NormalVerdana"/>
        <w:numPr>
          <w:ilvl w:val="0"/>
          <w:numId w:val="44"/>
        </w:numPr>
        <w:spacing w:after="120"/>
        <w:jc w:val="both"/>
      </w:pPr>
      <w:r w:rsidRPr="0087011F">
        <w:t xml:space="preserve">Bombali district reported the highest awareness levels with 100% while Western Area (rural) was the lowest at 70%. Campaign awareness was low in Kono, Bo, Moyamba and Western Area (Rural and Urban) districts. </w:t>
      </w:r>
      <w:r>
        <w:t xml:space="preserve"> </w:t>
      </w:r>
    </w:p>
    <w:p w:rsidR="00F0778D" w:rsidRDefault="009F0F49" w:rsidP="00D21369">
      <w:pPr>
        <w:pStyle w:val="NormalVerdana"/>
        <w:numPr>
          <w:ilvl w:val="0"/>
          <w:numId w:val="33"/>
        </w:numPr>
        <w:spacing w:after="120"/>
        <w:jc w:val="both"/>
      </w:pPr>
      <w:r w:rsidRPr="0087011F">
        <w:t xml:space="preserve">Independent monitoring reports also found that 84% of people surveyed nationwide had the correct knowledge on how to hang the LLINs. While it was highest in Bombali district at 100%, it was lowest in Western Area (rural) at 66.7%. </w:t>
      </w:r>
    </w:p>
    <w:p w:rsidR="00F0778D" w:rsidRDefault="00F0778D" w:rsidP="00F0778D">
      <w:pPr>
        <w:jc w:val="both"/>
      </w:pPr>
    </w:p>
    <w:p w:rsidR="00F0778D" w:rsidRPr="000B017F" w:rsidRDefault="00F0778D" w:rsidP="000B017F">
      <w:pPr>
        <w:spacing w:after="120"/>
        <w:rPr>
          <w:u w:val="single"/>
        </w:rPr>
      </w:pPr>
      <w:r w:rsidRPr="00792776">
        <w:rPr>
          <w:u w:val="single"/>
        </w:rPr>
        <w:t>Technical and operational support to malaria vector control interventions – WHO</w:t>
      </w:r>
    </w:p>
    <w:p w:rsidR="00F0778D" w:rsidRPr="00F0778D" w:rsidRDefault="00F0778D" w:rsidP="008E7F98">
      <w:pPr>
        <w:pStyle w:val="NoSpacing"/>
        <w:spacing w:after="160"/>
        <w:ind w:right="43"/>
        <w:jc w:val="both"/>
      </w:pPr>
      <w:r w:rsidRPr="00F0778D">
        <w:rPr>
          <w:rFonts w:ascii="Times New Roman" w:hAnsi="Times New Roman"/>
          <w:sz w:val="24"/>
          <w:szCs w:val="24"/>
        </w:rPr>
        <w:t>Universal coverage of LLINs has been achieved</w:t>
      </w:r>
      <w:r w:rsidR="00DA4A4B">
        <w:rPr>
          <w:rFonts w:ascii="Times New Roman" w:hAnsi="Times New Roman"/>
          <w:sz w:val="24"/>
          <w:szCs w:val="24"/>
        </w:rPr>
        <w:t xml:space="preserve"> in a joint effort with UNICEF through which</w:t>
      </w:r>
      <w:r w:rsidRPr="00F0778D">
        <w:rPr>
          <w:rFonts w:ascii="Times New Roman" w:hAnsi="Times New Roman"/>
          <w:sz w:val="24"/>
          <w:szCs w:val="24"/>
        </w:rPr>
        <w:t xml:space="preserve"> </w:t>
      </w:r>
      <w:r w:rsidR="00DA4A4B">
        <w:rPr>
          <w:rFonts w:ascii="Times New Roman" w:hAnsi="Times New Roman"/>
          <w:sz w:val="24"/>
          <w:szCs w:val="24"/>
        </w:rPr>
        <w:t>o</w:t>
      </w:r>
      <w:r w:rsidRPr="00F0778D">
        <w:rPr>
          <w:rFonts w:ascii="Times New Roman" w:hAnsi="Times New Roman"/>
          <w:sz w:val="24"/>
          <w:szCs w:val="24"/>
        </w:rPr>
        <w:t>ver three million long lasting insecticide-treated mosquito nets (LLINs) were distributed to every household in Sierra Leone with a national t</w:t>
      </w:r>
      <w:r>
        <w:rPr>
          <w:rFonts w:ascii="Times New Roman" w:hAnsi="Times New Roman"/>
          <w:sz w:val="24"/>
          <w:szCs w:val="24"/>
        </w:rPr>
        <w:t xml:space="preserve">arget of one net for two </w:t>
      </w:r>
      <w:r>
        <w:rPr>
          <w:rFonts w:ascii="Times New Roman" w:hAnsi="Times New Roman"/>
          <w:sz w:val="24"/>
          <w:szCs w:val="24"/>
        </w:rPr>
        <w:lastRenderedPageBreak/>
        <w:t xml:space="preserve">people. WHO supported </w:t>
      </w:r>
      <w:r w:rsidRPr="00F0778D">
        <w:rPr>
          <w:rFonts w:ascii="Times New Roman" w:hAnsi="Times New Roman"/>
          <w:sz w:val="24"/>
          <w:szCs w:val="24"/>
        </w:rPr>
        <w:t>“Hang Up” post</w:t>
      </w:r>
      <w:r>
        <w:rPr>
          <w:rFonts w:ascii="Times New Roman" w:hAnsi="Times New Roman"/>
          <w:sz w:val="24"/>
          <w:szCs w:val="24"/>
        </w:rPr>
        <w:t>er</w:t>
      </w:r>
      <w:r w:rsidRPr="00F0778D">
        <w:rPr>
          <w:rFonts w:ascii="Times New Roman" w:hAnsi="Times New Roman"/>
          <w:sz w:val="24"/>
          <w:szCs w:val="24"/>
        </w:rPr>
        <w:t xml:space="preserve"> campaign activities </w:t>
      </w:r>
      <w:r>
        <w:rPr>
          <w:rFonts w:ascii="Times New Roman" w:hAnsi="Times New Roman"/>
          <w:sz w:val="24"/>
          <w:szCs w:val="24"/>
        </w:rPr>
        <w:t xml:space="preserve">which </w:t>
      </w:r>
      <w:r w:rsidRPr="00F0778D">
        <w:rPr>
          <w:rFonts w:ascii="Times New Roman" w:hAnsi="Times New Roman"/>
          <w:sz w:val="24"/>
          <w:szCs w:val="24"/>
        </w:rPr>
        <w:t>were undertaken immediately after the distribution exercise, to demonstrate and promote net usage and to ensure that over time the LLINs would be used properly and consistently.</w:t>
      </w:r>
    </w:p>
    <w:p w:rsidR="00F0778D" w:rsidRPr="00F0778D" w:rsidRDefault="00F0778D" w:rsidP="00890622">
      <w:pPr>
        <w:spacing w:after="120"/>
        <w:jc w:val="both"/>
      </w:pPr>
      <w:r w:rsidRPr="00F0778D">
        <w:t xml:space="preserve">85% </w:t>
      </w:r>
      <w:r w:rsidRPr="00890622">
        <w:rPr>
          <w:bCs/>
        </w:rPr>
        <w:t xml:space="preserve">of the population in </w:t>
      </w:r>
      <w:r w:rsidRPr="005152D2">
        <w:t>selected chiefdoms in the Western Urban area, Bombali, Kono and Bo districts</w:t>
      </w:r>
      <w:r>
        <w:t xml:space="preserve"> b</w:t>
      </w:r>
      <w:r w:rsidR="006E6DAD">
        <w:t>enefited from Indoor Residual</w:t>
      </w:r>
      <w:r>
        <w:t xml:space="preserve"> Spraying (IRS) reaching a total of 34,476 homes.</w:t>
      </w:r>
    </w:p>
    <w:p w:rsidR="00F0778D" w:rsidRPr="005632C3" w:rsidRDefault="00F0778D" w:rsidP="00890622">
      <w:pPr>
        <w:jc w:val="both"/>
      </w:pPr>
      <w:r w:rsidRPr="005632C3">
        <w:t xml:space="preserve">The capacity for surveillance, monitoring and evaluation of malaria control interventions has been </w:t>
      </w:r>
      <w:r w:rsidR="00AC73E3" w:rsidRPr="005632C3">
        <w:t>strengthened through training of National Malaria Control Programme M&amp;</w:t>
      </w:r>
      <w:r w:rsidRPr="005632C3">
        <w:t xml:space="preserve">E team, </w:t>
      </w:r>
      <w:r w:rsidR="00AC73E3" w:rsidRPr="005632C3">
        <w:t>the revision of the M&amp;E tools and</w:t>
      </w:r>
      <w:r w:rsidRPr="005632C3">
        <w:t xml:space="preserve"> the completion of Global reports and supportive supervision</w:t>
      </w:r>
      <w:r w:rsidR="005632C3" w:rsidRPr="005632C3">
        <w:t xml:space="preserve"> through the support of the M&amp; E officer recruited.</w:t>
      </w:r>
    </w:p>
    <w:p w:rsidR="00AC73E3" w:rsidRDefault="00AC73E3" w:rsidP="009F0F49">
      <w:pPr>
        <w:pStyle w:val="BodyText"/>
        <w:jc w:val="both"/>
        <w:rPr>
          <w:rFonts w:ascii="Times New Roman" w:hAnsi="Times New Roman" w:cs="Times New Roman"/>
          <w:bCs/>
          <w:sz w:val="24"/>
          <w:szCs w:val="24"/>
        </w:rPr>
      </w:pPr>
    </w:p>
    <w:p w:rsidR="00AC73E3" w:rsidRPr="00A15E30" w:rsidRDefault="00AC73E3" w:rsidP="000B017F">
      <w:pPr>
        <w:spacing w:after="120"/>
        <w:rPr>
          <w:u w:val="single"/>
        </w:rPr>
      </w:pPr>
      <w:r w:rsidRPr="00595606">
        <w:rPr>
          <w:u w:val="single"/>
        </w:rPr>
        <w:t>Nutritional Support to People living with HIV and TB – WFP</w:t>
      </w:r>
    </w:p>
    <w:p w:rsidR="00F70ADE" w:rsidRPr="00F70ADE" w:rsidRDefault="00F70ADE" w:rsidP="00FC00B0">
      <w:pPr>
        <w:spacing w:after="160"/>
        <w:jc w:val="both"/>
      </w:pPr>
      <w:r>
        <w:rPr>
          <w:rFonts w:cstheme="minorHAnsi"/>
          <w:color w:val="000000"/>
          <w:lang w:eastAsia="en-GB"/>
        </w:rPr>
        <w:t>From the</w:t>
      </w:r>
      <w:r w:rsidRPr="00F70ADE">
        <w:rPr>
          <w:rFonts w:cstheme="minorHAnsi"/>
          <w:color w:val="000000"/>
          <w:lang w:eastAsia="en-GB"/>
        </w:rPr>
        <w:t xml:space="preserve"> $ 652,246 </w:t>
      </w:r>
      <w:r>
        <w:rPr>
          <w:rFonts w:cstheme="minorHAnsi"/>
          <w:color w:val="000000"/>
          <w:lang w:eastAsia="en-GB"/>
        </w:rPr>
        <w:t>received through the MDTF ‘Delivering as One’</w:t>
      </w:r>
      <w:r w:rsidRPr="00F70ADE">
        <w:rPr>
          <w:rFonts w:cstheme="minorHAnsi"/>
          <w:color w:val="000000"/>
          <w:lang w:eastAsia="en-GB"/>
        </w:rPr>
        <w:t xml:space="preserve"> the entire budget</w:t>
      </w:r>
      <w:r>
        <w:rPr>
          <w:rFonts w:cstheme="minorHAnsi"/>
          <w:color w:val="000000"/>
          <w:lang w:eastAsia="en-GB"/>
        </w:rPr>
        <w:t xml:space="preserve"> was utilized to purchase food, more specifically a</w:t>
      </w:r>
      <w:r w:rsidRPr="00F70ADE">
        <w:rPr>
          <w:rFonts w:cstheme="minorHAnsi"/>
          <w:color w:val="000000"/>
          <w:lang w:eastAsia="en-GB"/>
        </w:rPr>
        <w:t xml:space="preserve"> total of 680 M</w:t>
      </w:r>
      <w:r>
        <w:rPr>
          <w:rFonts w:cstheme="minorHAnsi"/>
          <w:color w:val="000000"/>
          <w:lang w:eastAsia="en-GB"/>
        </w:rPr>
        <w:t>etric-tonnes (Mt)</w:t>
      </w:r>
      <w:r w:rsidRPr="00F70ADE">
        <w:rPr>
          <w:rFonts w:cstheme="minorHAnsi"/>
          <w:color w:val="000000"/>
          <w:lang w:eastAsia="en-GB"/>
        </w:rPr>
        <w:t xml:space="preserve"> of assorted food commodities was bought namely -cereals (407 Mt), pulses (102 Mt), vegetable oil (51Mt), CSB (100 Mt) and </w:t>
      </w:r>
      <w:r w:rsidRPr="00FC00B0">
        <w:t>sugar</w:t>
      </w:r>
      <w:r w:rsidRPr="00F70ADE">
        <w:rPr>
          <w:rFonts w:cstheme="minorHAnsi"/>
          <w:color w:val="000000"/>
          <w:lang w:eastAsia="en-GB"/>
        </w:rPr>
        <w:t xml:space="preserve"> (20 MT).  </w:t>
      </w:r>
    </w:p>
    <w:p w:rsidR="00F70ADE" w:rsidRPr="00BA603D" w:rsidRDefault="00F70ADE" w:rsidP="00BA603D">
      <w:pPr>
        <w:spacing w:after="160"/>
        <w:jc w:val="both"/>
        <w:rPr>
          <w:rFonts w:cstheme="minorHAnsi"/>
          <w:color w:val="000000"/>
          <w:lang w:eastAsia="en-GB"/>
        </w:rPr>
      </w:pPr>
      <w:r w:rsidRPr="00BA603D">
        <w:rPr>
          <w:rFonts w:cstheme="minorHAnsi"/>
          <w:color w:val="000000"/>
          <w:lang w:eastAsia="en-GB"/>
        </w:rPr>
        <w:t xml:space="preserve">As the MDTF funding was the only funding available to support this project, the provision of family support was put on hold </w:t>
      </w:r>
      <w:r w:rsidR="006E6DAD" w:rsidRPr="00BA603D">
        <w:rPr>
          <w:rFonts w:cstheme="minorHAnsi"/>
          <w:color w:val="000000"/>
          <w:lang w:eastAsia="en-GB"/>
        </w:rPr>
        <w:t xml:space="preserve">so </w:t>
      </w:r>
      <w:r w:rsidRPr="00BA603D">
        <w:rPr>
          <w:rFonts w:cstheme="minorHAnsi"/>
          <w:color w:val="000000"/>
          <w:lang w:eastAsia="en-GB"/>
        </w:rPr>
        <w:t xml:space="preserve">as to expand and maintain treatment adherence for the individual beneficiaries identified. </w:t>
      </w:r>
      <w:r w:rsidRPr="00C43814">
        <w:rPr>
          <w:rFonts w:cstheme="minorHAnsi"/>
          <w:color w:val="000000"/>
          <w:lang w:eastAsia="en-GB"/>
        </w:rPr>
        <w:t xml:space="preserve">From the total </w:t>
      </w:r>
      <w:r w:rsidRPr="00BA603D">
        <w:rPr>
          <w:rFonts w:cstheme="minorHAnsi"/>
          <w:color w:val="000000"/>
          <w:lang w:eastAsia="en-GB"/>
        </w:rPr>
        <w:t>17,550 (</w:t>
      </w:r>
      <w:r w:rsidRPr="00C43814">
        <w:rPr>
          <w:rFonts w:cstheme="minorHAnsi"/>
          <w:color w:val="000000"/>
          <w:lang w:eastAsia="en-GB"/>
        </w:rPr>
        <w:t>3,900 individuals and 15, 650 families) beneficiaries to be supported, WFP d</w:t>
      </w:r>
      <w:r w:rsidRPr="00BA603D">
        <w:rPr>
          <w:rFonts w:cstheme="minorHAnsi"/>
          <w:color w:val="000000"/>
          <w:lang w:eastAsia="en-GB"/>
        </w:rPr>
        <w:t xml:space="preserve">istributed assorted commodities to 1,594 persons </w:t>
      </w:r>
      <w:r w:rsidR="005938B0" w:rsidRPr="00BA603D">
        <w:rPr>
          <w:rFonts w:cstheme="minorHAnsi"/>
          <w:color w:val="000000"/>
          <w:lang w:eastAsia="en-GB"/>
        </w:rPr>
        <w:t xml:space="preserve">on treatment </w:t>
      </w:r>
      <w:r w:rsidRPr="00BA603D">
        <w:rPr>
          <w:rFonts w:cstheme="minorHAnsi"/>
          <w:color w:val="000000"/>
          <w:lang w:eastAsia="en-GB"/>
        </w:rPr>
        <w:t>malnourished. The above figure</w:t>
      </w:r>
      <w:r w:rsidR="005938B0" w:rsidRPr="00BA603D">
        <w:rPr>
          <w:rFonts w:cstheme="minorHAnsi"/>
          <w:color w:val="000000"/>
          <w:lang w:eastAsia="en-GB"/>
        </w:rPr>
        <w:t xml:space="preserve"> only</w:t>
      </w:r>
      <w:r w:rsidRPr="00BA603D">
        <w:rPr>
          <w:rFonts w:cstheme="minorHAnsi"/>
          <w:color w:val="000000"/>
          <w:lang w:eastAsia="en-GB"/>
        </w:rPr>
        <w:t xml:space="preserve"> comprises individual nutritional support. </w:t>
      </w:r>
    </w:p>
    <w:p w:rsidR="00F70ADE" w:rsidRPr="00BA603D" w:rsidRDefault="00F70ADE" w:rsidP="00BA603D">
      <w:pPr>
        <w:spacing w:after="160"/>
        <w:jc w:val="both"/>
        <w:rPr>
          <w:rFonts w:cstheme="minorHAnsi"/>
          <w:color w:val="000000"/>
          <w:lang w:eastAsia="en-GB"/>
        </w:rPr>
      </w:pPr>
      <w:r>
        <w:rPr>
          <w:rFonts w:cstheme="minorHAnsi"/>
          <w:color w:val="000000"/>
          <w:lang w:eastAsia="en-GB"/>
        </w:rPr>
        <w:t>In addition to food distribution</w:t>
      </w:r>
      <w:r w:rsidR="006E6DAD">
        <w:rPr>
          <w:rFonts w:cstheme="minorHAnsi"/>
          <w:color w:val="000000"/>
          <w:lang w:eastAsia="en-GB"/>
        </w:rPr>
        <w:t>,</w:t>
      </w:r>
      <w:r>
        <w:rPr>
          <w:rFonts w:cstheme="minorHAnsi"/>
          <w:color w:val="000000"/>
          <w:lang w:eastAsia="en-GB"/>
        </w:rPr>
        <w:t xml:space="preserve"> </w:t>
      </w:r>
      <w:r w:rsidRPr="00BA603D">
        <w:rPr>
          <w:rFonts w:cstheme="minorHAnsi"/>
          <w:color w:val="000000"/>
          <w:lang w:eastAsia="en-GB"/>
        </w:rPr>
        <w:t>WFP worked closely with partners (Food and Nutrition, NACP of MOHs and Network for HIV positives)</w:t>
      </w:r>
      <w:r w:rsidR="006E6DAD" w:rsidRPr="00BA603D">
        <w:rPr>
          <w:rFonts w:cstheme="minorHAnsi"/>
          <w:color w:val="000000"/>
          <w:lang w:eastAsia="en-GB"/>
        </w:rPr>
        <w:t xml:space="preserve"> to conduct joint institutional-</w:t>
      </w:r>
      <w:r w:rsidRPr="00BA603D">
        <w:rPr>
          <w:rFonts w:cstheme="minorHAnsi"/>
          <w:color w:val="000000"/>
          <w:lang w:eastAsia="en-GB"/>
        </w:rPr>
        <w:t xml:space="preserve">based assessment of TB health facilities / Care and support Groups for nutritional food assistance. </w:t>
      </w:r>
    </w:p>
    <w:p w:rsidR="004841C9" w:rsidRPr="00BA603D" w:rsidRDefault="004841C9" w:rsidP="00FC00B0">
      <w:pPr>
        <w:spacing w:after="160"/>
        <w:jc w:val="both"/>
        <w:rPr>
          <w:rFonts w:cstheme="minorHAnsi"/>
          <w:color w:val="000000"/>
          <w:lang w:eastAsia="en-GB"/>
        </w:rPr>
      </w:pPr>
      <w:r w:rsidRPr="00BA603D">
        <w:rPr>
          <w:rFonts w:cstheme="minorHAnsi"/>
          <w:color w:val="000000"/>
          <w:lang w:eastAsia="en-GB"/>
        </w:rPr>
        <w:t>In line with this WFP d</w:t>
      </w:r>
      <w:r w:rsidR="00F70ADE" w:rsidRPr="00BA603D">
        <w:rPr>
          <w:rFonts w:cstheme="minorHAnsi"/>
          <w:color w:val="000000"/>
          <w:lang w:eastAsia="en-GB"/>
        </w:rPr>
        <w:t xml:space="preserve">eveloped and pre-tested nutritional M&amp;E tools for alignment with National M&amp;E tools. </w:t>
      </w:r>
    </w:p>
    <w:p w:rsidR="005938B0" w:rsidRPr="00BA603D" w:rsidRDefault="004841C9" w:rsidP="00FC00B0">
      <w:pPr>
        <w:spacing w:after="160"/>
        <w:jc w:val="both"/>
        <w:rPr>
          <w:rFonts w:cstheme="minorHAnsi"/>
          <w:color w:val="000000"/>
          <w:lang w:eastAsia="en-GB"/>
        </w:rPr>
      </w:pPr>
      <w:r w:rsidRPr="00BA603D">
        <w:rPr>
          <w:rFonts w:cstheme="minorHAnsi"/>
          <w:color w:val="000000"/>
          <w:lang w:eastAsia="en-GB"/>
        </w:rPr>
        <w:t xml:space="preserve">To support this alignment WFP </w:t>
      </w:r>
      <w:r w:rsidR="00F70ADE" w:rsidRPr="00BA603D">
        <w:rPr>
          <w:rFonts w:cstheme="minorHAnsi"/>
          <w:color w:val="000000"/>
          <w:lang w:eastAsia="en-GB"/>
        </w:rPr>
        <w:t>conducted capacity building training of the National AIDS Control Programme on M&amp;E</w:t>
      </w:r>
      <w:r w:rsidR="00D759A1" w:rsidRPr="00BA603D">
        <w:rPr>
          <w:rFonts w:cstheme="minorHAnsi"/>
          <w:color w:val="000000"/>
          <w:lang w:eastAsia="en-GB"/>
        </w:rPr>
        <w:t>. T</w:t>
      </w:r>
      <w:r w:rsidRPr="00BA603D">
        <w:rPr>
          <w:rFonts w:cstheme="minorHAnsi"/>
          <w:color w:val="000000"/>
          <w:lang w:eastAsia="en-GB"/>
        </w:rPr>
        <w:t>he trainings focused</w:t>
      </w:r>
      <w:r w:rsidR="00F70ADE" w:rsidRPr="00BA603D">
        <w:rPr>
          <w:rFonts w:cstheme="minorHAnsi"/>
          <w:color w:val="000000"/>
          <w:lang w:eastAsia="en-GB"/>
        </w:rPr>
        <w:t xml:space="preserve"> on food by pr</w:t>
      </w:r>
      <w:r w:rsidR="00D759A1" w:rsidRPr="00BA603D">
        <w:rPr>
          <w:rFonts w:cstheme="minorHAnsi"/>
          <w:color w:val="000000"/>
          <w:lang w:eastAsia="en-GB"/>
        </w:rPr>
        <w:t>escription for effective food-</w:t>
      </w:r>
      <w:r w:rsidR="00F70ADE" w:rsidRPr="00BA603D">
        <w:rPr>
          <w:rFonts w:cstheme="minorHAnsi"/>
          <w:color w:val="000000"/>
          <w:lang w:eastAsia="en-GB"/>
        </w:rPr>
        <w:t xml:space="preserve">assistance </w:t>
      </w:r>
      <w:r w:rsidRPr="00BA603D">
        <w:rPr>
          <w:rFonts w:cstheme="minorHAnsi"/>
          <w:color w:val="000000"/>
          <w:lang w:eastAsia="en-GB"/>
        </w:rPr>
        <w:t xml:space="preserve">and HIV programming. </w:t>
      </w:r>
      <w:r w:rsidR="005938B0" w:rsidRPr="00BA603D">
        <w:rPr>
          <w:rFonts w:cstheme="minorHAnsi"/>
          <w:color w:val="000000"/>
          <w:lang w:eastAsia="en-GB"/>
        </w:rPr>
        <w:t>In addition, WFP provided to NACP logistical equipments (7 motor –bikes, 30 weighing scale and 7 computers and accessories) to effectively implement and monitoring the nutritional supported programme</w:t>
      </w:r>
    </w:p>
    <w:p w:rsidR="00900D9A" w:rsidRDefault="004841C9" w:rsidP="00900D9A">
      <w:pPr>
        <w:autoSpaceDE w:val="0"/>
        <w:autoSpaceDN w:val="0"/>
        <w:adjustRightInd w:val="0"/>
        <w:jc w:val="both"/>
        <w:rPr>
          <w:color w:val="000000"/>
          <w:lang w:eastAsia="en-GB"/>
        </w:rPr>
      </w:pPr>
      <w:r>
        <w:rPr>
          <w:color w:val="000000"/>
          <w:lang w:eastAsia="en-GB"/>
        </w:rPr>
        <w:t>K</w:t>
      </w:r>
      <w:r w:rsidR="00F70ADE" w:rsidRPr="00F70ADE">
        <w:rPr>
          <w:color w:val="000000"/>
          <w:lang w:eastAsia="en-GB"/>
        </w:rPr>
        <w:t xml:space="preserve">ey health </w:t>
      </w:r>
      <w:r w:rsidRPr="00F70ADE">
        <w:rPr>
          <w:color w:val="000000"/>
          <w:lang w:eastAsia="en-GB"/>
        </w:rPr>
        <w:t>staffs were</w:t>
      </w:r>
      <w:r>
        <w:rPr>
          <w:color w:val="000000"/>
          <w:lang w:eastAsia="en-GB"/>
        </w:rPr>
        <w:t xml:space="preserve"> trained </w:t>
      </w:r>
      <w:r w:rsidR="00F70ADE" w:rsidRPr="00F70ADE">
        <w:rPr>
          <w:color w:val="000000"/>
          <w:lang w:eastAsia="en-GB"/>
        </w:rPr>
        <w:t>on strengthening Food and Nutrition</w:t>
      </w:r>
      <w:r>
        <w:rPr>
          <w:color w:val="000000"/>
          <w:lang w:eastAsia="en-GB"/>
        </w:rPr>
        <w:t xml:space="preserve"> Interventions in response to HIV/</w:t>
      </w:r>
      <w:r w:rsidR="00F70ADE" w:rsidRPr="00F70ADE">
        <w:rPr>
          <w:color w:val="000000"/>
          <w:lang w:eastAsia="en-GB"/>
        </w:rPr>
        <w:t xml:space="preserve">AIDS at </w:t>
      </w:r>
      <w:r>
        <w:rPr>
          <w:color w:val="000000"/>
          <w:lang w:eastAsia="en-GB"/>
        </w:rPr>
        <w:t>n</w:t>
      </w:r>
      <w:r w:rsidR="00F70ADE" w:rsidRPr="00F70ADE">
        <w:rPr>
          <w:color w:val="000000"/>
          <w:lang w:eastAsia="en-GB"/>
        </w:rPr>
        <w:t xml:space="preserve">ational </w:t>
      </w:r>
      <w:r>
        <w:rPr>
          <w:color w:val="000000"/>
          <w:lang w:eastAsia="en-GB"/>
        </w:rPr>
        <w:t>and district l</w:t>
      </w:r>
      <w:r w:rsidR="00F70ADE" w:rsidRPr="00F70ADE">
        <w:rPr>
          <w:color w:val="000000"/>
          <w:lang w:eastAsia="en-GB"/>
        </w:rPr>
        <w:t>evel</w:t>
      </w:r>
      <w:r>
        <w:rPr>
          <w:color w:val="000000"/>
          <w:lang w:eastAsia="en-GB"/>
        </w:rPr>
        <w:t>,</w:t>
      </w:r>
      <w:r w:rsidR="00D759A1">
        <w:rPr>
          <w:color w:val="000000"/>
          <w:lang w:eastAsia="en-GB"/>
        </w:rPr>
        <w:t xml:space="preserve"> and</w:t>
      </w:r>
      <w:r>
        <w:rPr>
          <w:color w:val="000000"/>
          <w:lang w:eastAsia="en-GB"/>
        </w:rPr>
        <w:t xml:space="preserve"> PLHIV </w:t>
      </w:r>
      <w:r w:rsidR="00F70ADE" w:rsidRPr="00F70ADE">
        <w:rPr>
          <w:color w:val="000000"/>
          <w:lang w:eastAsia="en-GB"/>
        </w:rPr>
        <w:t xml:space="preserve">care and support groups </w:t>
      </w:r>
      <w:r w:rsidR="00D759A1">
        <w:rPr>
          <w:color w:val="000000"/>
          <w:lang w:eastAsia="en-GB"/>
        </w:rPr>
        <w:t xml:space="preserve">were </w:t>
      </w:r>
      <w:r w:rsidR="00F70ADE" w:rsidRPr="00F70ADE">
        <w:rPr>
          <w:color w:val="000000"/>
          <w:lang w:eastAsia="en-GB"/>
        </w:rPr>
        <w:t xml:space="preserve">trained </w:t>
      </w:r>
      <w:r>
        <w:rPr>
          <w:color w:val="000000"/>
          <w:lang w:eastAsia="en-GB"/>
        </w:rPr>
        <w:t xml:space="preserve">on </w:t>
      </w:r>
      <w:r w:rsidR="00F70ADE" w:rsidRPr="00F70ADE">
        <w:rPr>
          <w:color w:val="000000"/>
          <w:lang w:eastAsia="en-GB"/>
        </w:rPr>
        <w:t xml:space="preserve">food rationing and beneficiary identification </w:t>
      </w:r>
    </w:p>
    <w:p w:rsidR="00900D9A" w:rsidRDefault="00900D9A" w:rsidP="00900D9A">
      <w:pPr>
        <w:autoSpaceDE w:val="0"/>
        <w:autoSpaceDN w:val="0"/>
        <w:adjustRightInd w:val="0"/>
        <w:jc w:val="both"/>
        <w:rPr>
          <w:color w:val="000000"/>
          <w:lang w:eastAsia="en-GB"/>
        </w:rPr>
      </w:pPr>
    </w:p>
    <w:p w:rsidR="00AC73E3" w:rsidRPr="008937A8" w:rsidRDefault="004841C9" w:rsidP="008937A8">
      <w:pPr>
        <w:autoSpaceDE w:val="0"/>
        <w:autoSpaceDN w:val="0"/>
        <w:adjustRightInd w:val="0"/>
        <w:jc w:val="both"/>
        <w:rPr>
          <w:bCs/>
          <w:i/>
        </w:rPr>
      </w:pPr>
      <w:r w:rsidRPr="008937A8">
        <w:rPr>
          <w:bCs/>
          <w:i/>
        </w:rPr>
        <w:t xml:space="preserve">Lessons Learnt </w:t>
      </w:r>
    </w:p>
    <w:p w:rsidR="00F0778D" w:rsidRDefault="00F0778D" w:rsidP="00F0778D">
      <w:pPr>
        <w:pStyle w:val="NoSpacing"/>
        <w:ind w:right="46"/>
        <w:jc w:val="both"/>
        <w:rPr>
          <w:sz w:val="20"/>
          <w:szCs w:val="20"/>
        </w:rPr>
      </w:pPr>
    </w:p>
    <w:p w:rsidR="004841C9" w:rsidRPr="000B017F" w:rsidRDefault="004841C9" w:rsidP="000B017F">
      <w:pPr>
        <w:spacing w:after="120"/>
        <w:rPr>
          <w:u w:val="single"/>
        </w:rPr>
      </w:pPr>
      <w:r w:rsidRPr="000D7614">
        <w:rPr>
          <w:u w:val="single"/>
        </w:rPr>
        <w:t>Malaria Control, LLINs Universal Coverage – UNICEF</w:t>
      </w:r>
    </w:p>
    <w:p w:rsidR="004841C9" w:rsidRDefault="009F0F49" w:rsidP="00FC00B0">
      <w:pPr>
        <w:spacing w:after="160"/>
        <w:jc w:val="both"/>
        <w:rPr>
          <w:bCs/>
        </w:rPr>
      </w:pPr>
      <w:r w:rsidRPr="0087011F">
        <w:rPr>
          <w:bCs/>
        </w:rPr>
        <w:t xml:space="preserve">The UNICEF Sierra Leone partnership with the Inter Religious Council of Sierra Leone and the ongoing </w:t>
      </w:r>
      <w:r w:rsidRPr="00FC00B0">
        <w:t>engagement</w:t>
      </w:r>
      <w:r w:rsidRPr="0087011F">
        <w:rPr>
          <w:bCs/>
        </w:rPr>
        <w:t xml:space="preserve"> of the Paramount Chiefs, civil society and community based organisations played a big role in the success of the campaign. </w:t>
      </w:r>
    </w:p>
    <w:p w:rsidR="009F0F49" w:rsidRPr="0087011F" w:rsidRDefault="009F0F49" w:rsidP="009F0F49">
      <w:pPr>
        <w:pStyle w:val="BodyText"/>
        <w:jc w:val="both"/>
        <w:rPr>
          <w:rFonts w:ascii="Times New Roman" w:hAnsi="Times New Roman" w:cs="Times New Roman"/>
          <w:bCs/>
          <w:sz w:val="24"/>
          <w:szCs w:val="24"/>
        </w:rPr>
      </w:pPr>
      <w:r w:rsidRPr="0087011F">
        <w:rPr>
          <w:rFonts w:ascii="Times New Roman" w:hAnsi="Times New Roman" w:cs="Times New Roman"/>
          <w:bCs/>
          <w:sz w:val="24"/>
          <w:szCs w:val="24"/>
        </w:rPr>
        <w:t>Traditional and religious leaders are key influencers in communities in Sierra Leone and have the ability to not only mobilise people but also ensure compliance, which is key for the adoption and maintenance of favourable health behaviours such as the utilisation of bed</w:t>
      </w:r>
      <w:r w:rsidR="004841C9">
        <w:rPr>
          <w:rFonts w:ascii="Times New Roman" w:hAnsi="Times New Roman" w:cs="Times New Roman"/>
          <w:bCs/>
          <w:sz w:val="24"/>
          <w:szCs w:val="24"/>
        </w:rPr>
        <w:t>-</w:t>
      </w:r>
      <w:r w:rsidRPr="0087011F">
        <w:rPr>
          <w:rFonts w:ascii="Times New Roman" w:hAnsi="Times New Roman" w:cs="Times New Roman"/>
          <w:bCs/>
          <w:sz w:val="24"/>
          <w:szCs w:val="24"/>
        </w:rPr>
        <w:t xml:space="preserve">nets.  </w:t>
      </w:r>
    </w:p>
    <w:p w:rsidR="003E3377" w:rsidRDefault="003E3377" w:rsidP="00F96466">
      <w:pPr>
        <w:jc w:val="both"/>
      </w:pPr>
    </w:p>
    <w:p w:rsidR="004841C9" w:rsidRPr="004841C9" w:rsidRDefault="004841C9" w:rsidP="004841C9">
      <w:pPr>
        <w:rPr>
          <w:b/>
          <w:u w:val="single"/>
        </w:rPr>
      </w:pPr>
      <w:r w:rsidRPr="00792776">
        <w:rPr>
          <w:u w:val="single"/>
        </w:rPr>
        <w:lastRenderedPageBreak/>
        <w:t>Technical and operational support to malaria vector control interventions – WHO</w:t>
      </w:r>
    </w:p>
    <w:p w:rsidR="004841C9" w:rsidRDefault="00AC73E3" w:rsidP="00FC00B0">
      <w:pPr>
        <w:spacing w:after="160"/>
        <w:jc w:val="both"/>
      </w:pPr>
      <w:r w:rsidRPr="004841C9">
        <w:t xml:space="preserve">The total population of the four selected districts could not be covered because of limited quantities of insecticides procured due to under budgeting. Number of chiefdoms was therefore reduced but still remains significant for decision making. </w:t>
      </w:r>
    </w:p>
    <w:p w:rsidR="00AC73E3" w:rsidRPr="004841C9" w:rsidRDefault="00AC73E3" w:rsidP="00AC73E3">
      <w:pPr>
        <w:jc w:val="both"/>
        <w:rPr>
          <w:sz w:val="22"/>
          <w:szCs w:val="22"/>
        </w:rPr>
      </w:pPr>
      <w:r w:rsidRPr="004841C9">
        <w:t>Partners include</w:t>
      </w:r>
      <w:r w:rsidR="004841C9">
        <w:t>d</w:t>
      </w:r>
      <w:r w:rsidRPr="004841C9">
        <w:t xml:space="preserve"> local councils, civil society movement, traditional leaders, NGOs and CBOs. The active involvement of all partners contributed immensely to the success of the operations in the field e.g. in promoting social mobilization and provision of logistical support</w:t>
      </w:r>
      <w:r w:rsidR="00D759A1">
        <w:t>.</w:t>
      </w:r>
    </w:p>
    <w:p w:rsidR="003E3377" w:rsidRDefault="003E3377" w:rsidP="00F96466">
      <w:pPr>
        <w:jc w:val="both"/>
      </w:pPr>
    </w:p>
    <w:p w:rsidR="004841C9" w:rsidRPr="004841C9" w:rsidRDefault="004841C9" w:rsidP="000B017F">
      <w:pPr>
        <w:spacing w:after="120"/>
        <w:rPr>
          <w:u w:val="single"/>
        </w:rPr>
      </w:pPr>
      <w:r w:rsidRPr="00595606">
        <w:rPr>
          <w:u w:val="single"/>
        </w:rPr>
        <w:t>Nutritional Support to People living with HIV and TB – WFP</w:t>
      </w:r>
    </w:p>
    <w:p w:rsidR="004841C9" w:rsidRPr="00ED318B" w:rsidRDefault="004841C9" w:rsidP="00931A5E">
      <w:pPr>
        <w:spacing w:after="160"/>
        <w:jc w:val="both"/>
        <w:rPr>
          <w:rFonts w:cstheme="minorHAnsi"/>
          <w:sz w:val="16"/>
          <w:szCs w:val="16"/>
        </w:rPr>
      </w:pPr>
      <w:r w:rsidRPr="004841C9">
        <w:rPr>
          <w:rFonts w:cstheme="minorHAnsi"/>
        </w:rPr>
        <w:t>Meaningful involvement of partners</w:t>
      </w:r>
      <w:r>
        <w:rPr>
          <w:rFonts w:cstheme="minorHAnsi"/>
        </w:rPr>
        <w:t xml:space="preserve"> (</w:t>
      </w:r>
      <w:r w:rsidRPr="004841C9">
        <w:rPr>
          <w:rFonts w:cstheme="minorHAnsi"/>
        </w:rPr>
        <w:t>NACP, Network f</w:t>
      </w:r>
      <w:r w:rsidR="00D759A1">
        <w:rPr>
          <w:rFonts w:cstheme="minorHAnsi"/>
        </w:rPr>
        <w:t xml:space="preserve">or HIV Positives, communities) </w:t>
      </w:r>
      <w:r w:rsidRPr="004841C9">
        <w:rPr>
          <w:rFonts w:cstheme="minorHAnsi"/>
        </w:rPr>
        <w:t xml:space="preserve">in the inception of the </w:t>
      </w:r>
      <w:r w:rsidRPr="00FC00B0">
        <w:t>project</w:t>
      </w:r>
      <w:r w:rsidRPr="004841C9">
        <w:rPr>
          <w:rFonts w:cstheme="minorHAnsi"/>
        </w:rPr>
        <w:t xml:space="preserve"> </w:t>
      </w:r>
      <w:r w:rsidR="00900D9A">
        <w:rPr>
          <w:rFonts w:cstheme="minorHAnsi"/>
        </w:rPr>
        <w:t>development and implementation has</w:t>
      </w:r>
      <w:r w:rsidRPr="004841C9">
        <w:rPr>
          <w:rFonts w:cstheme="minorHAnsi"/>
        </w:rPr>
        <w:t xml:space="preserve"> create</w:t>
      </w:r>
      <w:r w:rsidR="00900D9A">
        <w:rPr>
          <w:rFonts w:cstheme="minorHAnsi"/>
        </w:rPr>
        <w:t>d</w:t>
      </w:r>
      <w:r w:rsidRPr="004841C9">
        <w:rPr>
          <w:rFonts w:cstheme="minorHAnsi"/>
        </w:rPr>
        <w:t xml:space="preserve"> the b</w:t>
      </w:r>
      <w:r w:rsidR="00900D9A">
        <w:rPr>
          <w:rFonts w:cstheme="minorHAnsi"/>
        </w:rPr>
        <w:t>asis for country –led ownership</w:t>
      </w:r>
      <w:r w:rsidR="00D759A1">
        <w:rPr>
          <w:rFonts w:cstheme="minorHAnsi"/>
        </w:rPr>
        <w:t>.</w:t>
      </w:r>
    </w:p>
    <w:p w:rsidR="00900D9A" w:rsidRPr="00ED318B" w:rsidRDefault="004841C9" w:rsidP="00ED318B">
      <w:pPr>
        <w:rPr>
          <w:rFonts w:cstheme="minorHAnsi"/>
        </w:rPr>
      </w:pPr>
      <w:r w:rsidRPr="004841C9">
        <w:rPr>
          <w:rFonts w:cstheme="minorHAnsi"/>
        </w:rPr>
        <w:t>The resource mobilization for nutritional support to PLHIV and TB patients has been very s</w:t>
      </w:r>
      <w:r>
        <w:rPr>
          <w:rFonts w:cstheme="minorHAnsi"/>
        </w:rPr>
        <w:t>low due to the absences of</w:t>
      </w:r>
      <w:r w:rsidRPr="004841C9">
        <w:rPr>
          <w:rFonts w:cstheme="minorHAnsi"/>
        </w:rPr>
        <w:t xml:space="preserve"> evidence</w:t>
      </w:r>
      <w:r w:rsidR="00D759A1">
        <w:rPr>
          <w:rFonts w:cstheme="minorHAnsi"/>
        </w:rPr>
        <w:t>-</w:t>
      </w:r>
      <w:r w:rsidRPr="004841C9">
        <w:rPr>
          <w:rFonts w:cstheme="minorHAnsi"/>
        </w:rPr>
        <w:t>based study</w:t>
      </w:r>
      <w:r w:rsidR="00D759A1">
        <w:rPr>
          <w:rFonts w:cstheme="minorHAnsi"/>
        </w:rPr>
        <w:t>.</w:t>
      </w:r>
    </w:p>
    <w:p w:rsidR="00EB4987" w:rsidRDefault="00EB4987" w:rsidP="00900D9A">
      <w:pPr>
        <w:pStyle w:val="Heading1"/>
        <w:tabs>
          <w:tab w:val="left" w:pos="360"/>
        </w:tabs>
        <w:ind w:left="0"/>
        <w:jc w:val="left"/>
        <w:rPr>
          <w:rFonts w:ascii="Times New Roman" w:hAnsi="Times New Roman"/>
          <w:sz w:val="24"/>
          <w:szCs w:val="24"/>
        </w:rPr>
      </w:pPr>
      <w:bookmarkStart w:id="4" w:name="_Toc249364487"/>
    </w:p>
    <w:p w:rsidR="008937A8" w:rsidRPr="008937A8" w:rsidRDefault="008937A8" w:rsidP="008937A8"/>
    <w:p w:rsidR="00EB4987" w:rsidRPr="00EB4987" w:rsidRDefault="00EB4987" w:rsidP="00EB4987"/>
    <w:p w:rsidR="00900D9A" w:rsidRDefault="00900D9A" w:rsidP="000B017F">
      <w:pPr>
        <w:pStyle w:val="NoSpacing"/>
        <w:numPr>
          <w:ilvl w:val="0"/>
          <w:numId w:val="42"/>
        </w:numPr>
        <w:rPr>
          <w:rFonts w:ascii="Times New Roman" w:hAnsi="Times New Roman"/>
          <w:b/>
          <w:sz w:val="24"/>
          <w:szCs w:val="24"/>
        </w:rPr>
      </w:pPr>
      <w:r w:rsidRPr="000B017F">
        <w:rPr>
          <w:rFonts w:ascii="Times New Roman" w:hAnsi="Times New Roman"/>
          <w:b/>
          <w:sz w:val="24"/>
          <w:szCs w:val="24"/>
        </w:rPr>
        <w:t xml:space="preserve">Future Work Plan </w:t>
      </w:r>
      <w:bookmarkEnd w:id="4"/>
    </w:p>
    <w:p w:rsidR="00931A5E" w:rsidRPr="000B017F" w:rsidRDefault="00931A5E" w:rsidP="00931A5E">
      <w:pPr>
        <w:pStyle w:val="NoSpacing"/>
        <w:ind w:left="720"/>
        <w:rPr>
          <w:rFonts w:ascii="Times New Roman" w:hAnsi="Times New Roman"/>
          <w:b/>
          <w:sz w:val="24"/>
          <w:szCs w:val="24"/>
        </w:rPr>
      </w:pPr>
    </w:p>
    <w:p w:rsidR="00900D9A" w:rsidRPr="000B017F" w:rsidRDefault="00900D9A" w:rsidP="000B017F">
      <w:pPr>
        <w:spacing w:after="120"/>
        <w:rPr>
          <w:u w:val="single"/>
        </w:rPr>
      </w:pPr>
      <w:r w:rsidRPr="002B4DA7">
        <w:rPr>
          <w:u w:val="single"/>
        </w:rPr>
        <w:t>Malaria Control, LLINs Universal Coverage – UNICEF</w:t>
      </w:r>
    </w:p>
    <w:p w:rsidR="00900D9A" w:rsidRPr="0087011F" w:rsidRDefault="00900D9A" w:rsidP="00FC00B0">
      <w:pPr>
        <w:spacing w:after="160"/>
        <w:jc w:val="both"/>
      </w:pPr>
      <w:r w:rsidRPr="0087011F">
        <w:t>In 2011, UNICEF Sierra Leone will support the Ministry of Health and Sanitation to design and implement a LLIN “Keep Up” Campaign in order to reinforce key messages on LLIN use and malaria prevention and strengthen community support and monitoring for their daily use in households. The communication strategy has been designed using the Health Belief model and uses a mix of approaches, including radio, key influencers within the community, interpersonal communication channels to inform, encourage, and reinforce messages to facilitate adoption and maintenance of positive behaviours on ITN ownership and utilisation.</w:t>
      </w:r>
    </w:p>
    <w:p w:rsidR="00DF71CD" w:rsidRDefault="00DF71CD" w:rsidP="00900D9A">
      <w:pPr>
        <w:jc w:val="both"/>
      </w:pPr>
      <w:r>
        <w:t xml:space="preserve">UNICEF will also support the reinforcement of health personnel </w:t>
      </w:r>
      <w:r w:rsidR="00365AE0">
        <w:t xml:space="preserve">capacity </w:t>
      </w:r>
      <w:r>
        <w:t xml:space="preserve">to correctly diagnose and report promptly malaria cases and deaths. In addition a post LLIN campaign  and utilization survey will be implemented in June-July 2011, to measure the progress of LLINs utilization in the population. </w:t>
      </w:r>
    </w:p>
    <w:p w:rsidR="00FC00B0" w:rsidRPr="00DF71CD" w:rsidRDefault="00FC00B0" w:rsidP="00900D9A">
      <w:pPr>
        <w:jc w:val="both"/>
      </w:pP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2970"/>
        <w:gridCol w:w="1800"/>
        <w:gridCol w:w="2520"/>
        <w:gridCol w:w="1260"/>
      </w:tblGrid>
      <w:tr w:rsidR="00900D9A" w:rsidRPr="0087011F" w:rsidTr="004D7702">
        <w:tc>
          <w:tcPr>
            <w:tcW w:w="630" w:type="dxa"/>
            <w:shd w:val="clear" w:color="auto" w:fill="C6D9F1" w:themeFill="text2" w:themeFillTint="33"/>
          </w:tcPr>
          <w:p w:rsidR="00900D9A" w:rsidRPr="004813D0" w:rsidRDefault="00900D9A" w:rsidP="00900D9A">
            <w:pPr>
              <w:jc w:val="both"/>
              <w:rPr>
                <w:sz w:val="22"/>
                <w:szCs w:val="22"/>
              </w:rPr>
            </w:pPr>
            <w:r w:rsidRPr="004813D0">
              <w:rPr>
                <w:sz w:val="22"/>
                <w:szCs w:val="22"/>
              </w:rPr>
              <w:t>NO</w:t>
            </w:r>
          </w:p>
        </w:tc>
        <w:tc>
          <w:tcPr>
            <w:tcW w:w="2970" w:type="dxa"/>
            <w:shd w:val="clear" w:color="auto" w:fill="C6D9F1" w:themeFill="text2" w:themeFillTint="33"/>
          </w:tcPr>
          <w:p w:rsidR="00900D9A" w:rsidRPr="004813D0" w:rsidRDefault="00900D9A" w:rsidP="00900D9A">
            <w:pPr>
              <w:jc w:val="both"/>
              <w:rPr>
                <w:sz w:val="22"/>
                <w:szCs w:val="22"/>
              </w:rPr>
            </w:pPr>
            <w:r w:rsidRPr="004813D0">
              <w:rPr>
                <w:sz w:val="22"/>
                <w:szCs w:val="22"/>
              </w:rPr>
              <w:t>ACTIVITY</w:t>
            </w:r>
          </w:p>
        </w:tc>
        <w:tc>
          <w:tcPr>
            <w:tcW w:w="1800" w:type="dxa"/>
            <w:shd w:val="clear" w:color="auto" w:fill="C6D9F1" w:themeFill="text2" w:themeFillTint="33"/>
          </w:tcPr>
          <w:p w:rsidR="00900D9A" w:rsidRPr="004813D0" w:rsidRDefault="00900D9A" w:rsidP="00900D9A">
            <w:pPr>
              <w:jc w:val="both"/>
              <w:rPr>
                <w:sz w:val="22"/>
                <w:szCs w:val="22"/>
              </w:rPr>
            </w:pPr>
            <w:r w:rsidRPr="004813D0">
              <w:rPr>
                <w:sz w:val="22"/>
                <w:szCs w:val="22"/>
              </w:rPr>
              <w:t>TIME FRAME</w:t>
            </w:r>
          </w:p>
        </w:tc>
        <w:tc>
          <w:tcPr>
            <w:tcW w:w="2520" w:type="dxa"/>
            <w:shd w:val="clear" w:color="auto" w:fill="C6D9F1" w:themeFill="text2" w:themeFillTint="33"/>
          </w:tcPr>
          <w:p w:rsidR="004D7702" w:rsidRDefault="00900D9A" w:rsidP="00900D9A">
            <w:pPr>
              <w:jc w:val="both"/>
              <w:rPr>
                <w:sz w:val="22"/>
                <w:szCs w:val="22"/>
              </w:rPr>
            </w:pPr>
            <w:r w:rsidRPr="004813D0">
              <w:rPr>
                <w:sz w:val="22"/>
                <w:szCs w:val="22"/>
              </w:rPr>
              <w:t>RESPONSIBLE PERSON/</w:t>
            </w:r>
          </w:p>
          <w:p w:rsidR="00900D9A" w:rsidRPr="004813D0" w:rsidRDefault="00900D9A" w:rsidP="00900D9A">
            <w:pPr>
              <w:jc w:val="both"/>
              <w:rPr>
                <w:sz w:val="22"/>
                <w:szCs w:val="22"/>
              </w:rPr>
            </w:pPr>
            <w:r w:rsidRPr="004813D0">
              <w:rPr>
                <w:sz w:val="22"/>
                <w:szCs w:val="22"/>
              </w:rPr>
              <w:t>ORGANIZATION</w:t>
            </w:r>
          </w:p>
        </w:tc>
        <w:tc>
          <w:tcPr>
            <w:tcW w:w="1260" w:type="dxa"/>
            <w:shd w:val="clear" w:color="auto" w:fill="C6D9F1" w:themeFill="text2" w:themeFillTint="33"/>
          </w:tcPr>
          <w:p w:rsidR="00900D9A" w:rsidRPr="004813D0" w:rsidRDefault="00900D9A" w:rsidP="00900D9A">
            <w:pPr>
              <w:jc w:val="both"/>
              <w:rPr>
                <w:sz w:val="22"/>
                <w:szCs w:val="22"/>
              </w:rPr>
            </w:pPr>
            <w:r w:rsidRPr="004813D0">
              <w:rPr>
                <w:sz w:val="22"/>
                <w:szCs w:val="22"/>
              </w:rPr>
              <w:t>BUDGET</w:t>
            </w:r>
          </w:p>
          <w:p w:rsidR="00900D9A" w:rsidRPr="004813D0" w:rsidRDefault="00900D9A" w:rsidP="00900D9A">
            <w:pPr>
              <w:jc w:val="both"/>
              <w:rPr>
                <w:sz w:val="22"/>
                <w:szCs w:val="22"/>
              </w:rPr>
            </w:pPr>
            <w:r w:rsidRPr="004813D0">
              <w:rPr>
                <w:sz w:val="22"/>
                <w:szCs w:val="22"/>
              </w:rPr>
              <w:t>In USD</w:t>
            </w:r>
          </w:p>
        </w:tc>
      </w:tr>
      <w:tr w:rsidR="00900D9A" w:rsidRPr="0087011F" w:rsidTr="004D7702">
        <w:tc>
          <w:tcPr>
            <w:tcW w:w="630" w:type="dxa"/>
          </w:tcPr>
          <w:p w:rsidR="00900D9A" w:rsidRPr="004813D0" w:rsidRDefault="00900D9A" w:rsidP="00900D9A">
            <w:pPr>
              <w:jc w:val="both"/>
              <w:rPr>
                <w:b/>
                <w:sz w:val="22"/>
                <w:szCs w:val="22"/>
              </w:rPr>
            </w:pPr>
            <w:r w:rsidRPr="004813D0">
              <w:rPr>
                <w:b/>
                <w:sz w:val="22"/>
                <w:szCs w:val="22"/>
              </w:rPr>
              <w:t>1</w:t>
            </w:r>
          </w:p>
        </w:tc>
        <w:tc>
          <w:tcPr>
            <w:tcW w:w="2970" w:type="dxa"/>
          </w:tcPr>
          <w:p w:rsidR="00900D9A" w:rsidRPr="004813D0" w:rsidRDefault="00900D9A" w:rsidP="00900D9A">
            <w:pPr>
              <w:jc w:val="both"/>
              <w:rPr>
                <w:sz w:val="22"/>
                <w:szCs w:val="22"/>
              </w:rPr>
            </w:pPr>
            <w:r w:rsidRPr="004813D0">
              <w:rPr>
                <w:sz w:val="22"/>
                <w:szCs w:val="22"/>
              </w:rPr>
              <w:t>Coordination meeting with partners at national level</w:t>
            </w:r>
          </w:p>
        </w:tc>
        <w:tc>
          <w:tcPr>
            <w:tcW w:w="1800" w:type="dxa"/>
          </w:tcPr>
          <w:p w:rsidR="00900D9A" w:rsidRPr="004813D0" w:rsidRDefault="00900D9A" w:rsidP="00900D9A">
            <w:pPr>
              <w:rPr>
                <w:sz w:val="22"/>
                <w:szCs w:val="22"/>
              </w:rPr>
            </w:pPr>
            <w:r>
              <w:rPr>
                <w:sz w:val="22"/>
                <w:szCs w:val="22"/>
              </w:rPr>
              <w:t xml:space="preserve">Twice </w:t>
            </w:r>
            <w:r w:rsidRPr="004813D0">
              <w:rPr>
                <w:sz w:val="22"/>
                <w:szCs w:val="22"/>
              </w:rPr>
              <w:t xml:space="preserve">monthly </w:t>
            </w:r>
            <w:r>
              <w:rPr>
                <w:sz w:val="22"/>
                <w:szCs w:val="22"/>
              </w:rPr>
              <w:t>per annum</w:t>
            </w:r>
          </w:p>
        </w:tc>
        <w:tc>
          <w:tcPr>
            <w:tcW w:w="2520" w:type="dxa"/>
          </w:tcPr>
          <w:p w:rsidR="00900D9A" w:rsidRPr="004813D0" w:rsidRDefault="00900D9A" w:rsidP="00900D9A">
            <w:pPr>
              <w:rPr>
                <w:sz w:val="22"/>
                <w:szCs w:val="22"/>
              </w:rPr>
            </w:pPr>
            <w:r w:rsidRPr="004813D0">
              <w:rPr>
                <w:sz w:val="22"/>
                <w:szCs w:val="22"/>
              </w:rPr>
              <w:t>MoHS (National Level Social Mobilisation Committee)</w:t>
            </w:r>
          </w:p>
        </w:tc>
        <w:tc>
          <w:tcPr>
            <w:tcW w:w="1260" w:type="dxa"/>
          </w:tcPr>
          <w:p w:rsidR="00900D9A" w:rsidRPr="004813D0" w:rsidRDefault="00900D9A" w:rsidP="00900D9A">
            <w:pPr>
              <w:jc w:val="both"/>
              <w:rPr>
                <w:sz w:val="22"/>
                <w:szCs w:val="22"/>
              </w:rPr>
            </w:pPr>
            <w:r w:rsidRPr="004813D0">
              <w:rPr>
                <w:sz w:val="22"/>
                <w:szCs w:val="22"/>
              </w:rPr>
              <w:t>00.00</w:t>
            </w:r>
          </w:p>
        </w:tc>
      </w:tr>
      <w:tr w:rsidR="00900D9A" w:rsidRPr="0087011F" w:rsidTr="004D7702">
        <w:tc>
          <w:tcPr>
            <w:tcW w:w="630" w:type="dxa"/>
          </w:tcPr>
          <w:p w:rsidR="00900D9A" w:rsidRPr="004813D0" w:rsidRDefault="00900D9A" w:rsidP="00900D9A">
            <w:pPr>
              <w:jc w:val="both"/>
              <w:rPr>
                <w:b/>
                <w:sz w:val="22"/>
                <w:szCs w:val="22"/>
              </w:rPr>
            </w:pPr>
            <w:r w:rsidRPr="004813D0">
              <w:rPr>
                <w:b/>
                <w:sz w:val="22"/>
                <w:szCs w:val="22"/>
              </w:rPr>
              <w:t>2</w:t>
            </w:r>
          </w:p>
        </w:tc>
        <w:tc>
          <w:tcPr>
            <w:tcW w:w="2970" w:type="dxa"/>
          </w:tcPr>
          <w:p w:rsidR="00900D9A" w:rsidRPr="004813D0" w:rsidRDefault="00900D9A" w:rsidP="00900D9A">
            <w:pPr>
              <w:jc w:val="both"/>
              <w:rPr>
                <w:sz w:val="22"/>
                <w:szCs w:val="22"/>
              </w:rPr>
            </w:pPr>
            <w:r w:rsidRPr="004813D0">
              <w:rPr>
                <w:sz w:val="22"/>
                <w:szCs w:val="22"/>
              </w:rPr>
              <w:t>District Social Mobilisation Coordination meetings</w:t>
            </w:r>
          </w:p>
        </w:tc>
        <w:tc>
          <w:tcPr>
            <w:tcW w:w="1800" w:type="dxa"/>
          </w:tcPr>
          <w:p w:rsidR="00900D9A" w:rsidRPr="004813D0" w:rsidRDefault="00900D9A" w:rsidP="00900D9A">
            <w:pPr>
              <w:rPr>
                <w:sz w:val="22"/>
                <w:szCs w:val="22"/>
              </w:rPr>
            </w:pPr>
            <w:r>
              <w:rPr>
                <w:sz w:val="22"/>
                <w:szCs w:val="22"/>
              </w:rPr>
              <w:t xml:space="preserve">Twice </w:t>
            </w:r>
            <w:r w:rsidRPr="004813D0">
              <w:rPr>
                <w:sz w:val="22"/>
                <w:szCs w:val="22"/>
              </w:rPr>
              <w:t xml:space="preserve">monthly </w:t>
            </w:r>
            <w:r>
              <w:rPr>
                <w:sz w:val="22"/>
                <w:szCs w:val="22"/>
              </w:rPr>
              <w:t>per annum</w:t>
            </w:r>
          </w:p>
        </w:tc>
        <w:tc>
          <w:tcPr>
            <w:tcW w:w="2520" w:type="dxa"/>
          </w:tcPr>
          <w:p w:rsidR="00900D9A" w:rsidRPr="004813D0" w:rsidRDefault="00900D9A" w:rsidP="00900D9A">
            <w:pPr>
              <w:rPr>
                <w:sz w:val="22"/>
                <w:szCs w:val="22"/>
              </w:rPr>
            </w:pPr>
            <w:r w:rsidRPr="004813D0">
              <w:rPr>
                <w:sz w:val="22"/>
                <w:szCs w:val="22"/>
              </w:rPr>
              <w:t>District Social Mobilisation Committee</w:t>
            </w:r>
          </w:p>
        </w:tc>
        <w:tc>
          <w:tcPr>
            <w:tcW w:w="1260" w:type="dxa"/>
          </w:tcPr>
          <w:p w:rsidR="00900D9A" w:rsidRPr="004813D0" w:rsidRDefault="00900D9A" w:rsidP="00900D9A">
            <w:pPr>
              <w:jc w:val="both"/>
              <w:rPr>
                <w:sz w:val="22"/>
                <w:szCs w:val="22"/>
              </w:rPr>
            </w:pPr>
            <w:r w:rsidRPr="004813D0">
              <w:rPr>
                <w:sz w:val="22"/>
                <w:szCs w:val="22"/>
              </w:rPr>
              <w:t>20,000</w:t>
            </w:r>
          </w:p>
        </w:tc>
      </w:tr>
      <w:tr w:rsidR="00900D9A" w:rsidRPr="0087011F" w:rsidTr="004D7702">
        <w:tc>
          <w:tcPr>
            <w:tcW w:w="630" w:type="dxa"/>
          </w:tcPr>
          <w:p w:rsidR="00900D9A" w:rsidRPr="004813D0" w:rsidRDefault="00900D9A" w:rsidP="00900D9A">
            <w:pPr>
              <w:jc w:val="both"/>
              <w:rPr>
                <w:b/>
                <w:sz w:val="22"/>
                <w:szCs w:val="22"/>
              </w:rPr>
            </w:pPr>
            <w:r w:rsidRPr="004813D0">
              <w:rPr>
                <w:b/>
                <w:sz w:val="22"/>
                <w:szCs w:val="22"/>
              </w:rPr>
              <w:t>3</w:t>
            </w:r>
          </w:p>
        </w:tc>
        <w:tc>
          <w:tcPr>
            <w:tcW w:w="2970" w:type="dxa"/>
          </w:tcPr>
          <w:p w:rsidR="00900D9A" w:rsidRPr="004813D0" w:rsidRDefault="00900D9A" w:rsidP="00900D9A">
            <w:pPr>
              <w:jc w:val="both"/>
              <w:rPr>
                <w:b/>
                <w:sz w:val="22"/>
                <w:szCs w:val="22"/>
              </w:rPr>
            </w:pPr>
            <w:r w:rsidRPr="004813D0">
              <w:rPr>
                <w:sz w:val="22"/>
                <w:szCs w:val="22"/>
              </w:rPr>
              <w:t>Development production and distribution of Advocacy packs at all levels</w:t>
            </w:r>
          </w:p>
        </w:tc>
        <w:tc>
          <w:tcPr>
            <w:tcW w:w="1800" w:type="dxa"/>
          </w:tcPr>
          <w:p w:rsidR="00900D9A" w:rsidRPr="004813D0" w:rsidRDefault="00900D9A" w:rsidP="00900D9A">
            <w:pPr>
              <w:rPr>
                <w:sz w:val="22"/>
                <w:szCs w:val="22"/>
              </w:rPr>
            </w:pPr>
            <w:r w:rsidRPr="004813D0">
              <w:rPr>
                <w:sz w:val="22"/>
                <w:szCs w:val="22"/>
              </w:rPr>
              <w:t>1 day meeting to dev. March 2011</w:t>
            </w:r>
          </w:p>
        </w:tc>
        <w:tc>
          <w:tcPr>
            <w:tcW w:w="2520" w:type="dxa"/>
          </w:tcPr>
          <w:p w:rsidR="00900D9A" w:rsidRPr="004813D0" w:rsidRDefault="00900D9A" w:rsidP="00900D9A">
            <w:pPr>
              <w:rPr>
                <w:sz w:val="22"/>
                <w:szCs w:val="22"/>
              </w:rPr>
            </w:pPr>
            <w:r w:rsidRPr="004813D0">
              <w:rPr>
                <w:sz w:val="22"/>
                <w:szCs w:val="22"/>
              </w:rPr>
              <w:t>Nat. Soc. Mob Committee</w:t>
            </w:r>
          </w:p>
        </w:tc>
        <w:tc>
          <w:tcPr>
            <w:tcW w:w="1260" w:type="dxa"/>
          </w:tcPr>
          <w:p w:rsidR="00900D9A" w:rsidRPr="004813D0" w:rsidRDefault="00900D9A" w:rsidP="00900D9A">
            <w:pPr>
              <w:jc w:val="both"/>
              <w:rPr>
                <w:sz w:val="22"/>
                <w:szCs w:val="22"/>
              </w:rPr>
            </w:pPr>
            <w:r w:rsidRPr="004813D0">
              <w:rPr>
                <w:sz w:val="22"/>
                <w:szCs w:val="22"/>
              </w:rPr>
              <w:t>10,000</w:t>
            </w:r>
          </w:p>
          <w:p w:rsidR="00900D9A" w:rsidRPr="004813D0" w:rsidRDefault="00900D9A" w:rsidP="00900D9A">
            <w:pPr>
              <w:jc w:val="both"/>
              <w:rPr>
                <w:sz w:val="22"/>
                <w:szCs w:val="22"/>
              </w:rPr>
            </w:pPr>
          </w:p>
        </w:tc>
      </w:tr>
      <w:tr w:rsidR="00900D9A" w:rsidRPr="0087011F" w:rsidTr="004D7702">
        <w:tc>
          <w:tcPr>
            <w:tcW w:w="630" w:type="dxa"/>
          </w:tcPr>
          <w:p w:rsidR="00900D9A" w:rsidRPr="004813D0" w:rsidRDefault="00900D9A" w:rsidP="00900D9A">
            <w:pPr>
              <w:jc w:val="both"/>
              <w:rPr>
                <w:b/>
                <w:sz w:val="22"/>
                <w:szCs w:val="22"/>
              </w:rPr>
            </w:pPr>
            <w:r w:rsidRPr="004813D0">
              <w:rPr>
                <w:b/>
                <w:sz w:val="22"/>
                <w:szCs w:val="22"/>
              </w:rPr>
              <w:t>4</w:t>
            </w:r>
          </w:p>
        </w:tc>
        <w:tc>
          <w:tcPr>
            <w:tcW w:w="2970" w:type="dxa"/>
          </w:tcPr>
          <w:p w:rsidR="00900D9A" w:rsidRPr="004813D0" w:rsidRDefault="00900D9A" w:rsidP="00900D9A">
            <w:pPr>
              <w:jc w:val="both"/>
              <w:rPr>
                <w:sz w:val="22"/>
                <w:szCs w:val="22"/>
              </w:rPr>
            </w:pPr>
            <w:r w:rsidRPr="004813D0">
              <w:rPr>
                <w:sz w:val="22"/>
                <w:szCs w:val="22"/>
              </w:rPr>
              <w:t>Development, production of IEC materials on LLINs (jingles, flyers, songs and side wall painting)</w:t>
            </w:r>
          </w:p>
        </w:tc>
        <w:tc>
          <w:tcPr>
            <w:tcW w:w="1800" w:type="dxa"/>
          </w:tcPr>
          <w:p w:rsidR="00900D9A" w:rsidRPr="004813D0" w:rsidRDefault="00900D9A" w:rsidP="00900D9A">
            <w:pPr>
              <w:rPr>
                <w:sz w:val="22"/>
                <w:szCs w:val="22"/>
              </w:rPr>
            </w:pPr>
            <w:r w:rsidRPr="004813D0">
              <w:rPr>
                <w:sz w:val="22"/>
                <w:szCs w:val="22"/>
              </w:rPr>
              <w:t xml:space="preserve">Four days March 2011 </w:t>
            </w:r>
          </w:p>
        </w:tc>
        <w:tc>
          <w:tcPr>
            <w:tcW w:w="2520" w:type="dxa"/>
          </w:tcPr>
          <w:p w:rsidR="00900D9A" w:rsidRPr="004813D0" w:rsidRDefault="00900D9A" w:rsidP="00900D9A">
            <w:pPr>
              <w:rPr>
                <w:sz w:val="22"/>
                <w:szCs w:val="22"/>
              </w:rPr>
            </w:pPr>
            <w:r w:rsidRPr="004813D0">
              <w:rPr>
                <w:sz w:val="22"/>
                <w:szCs w:val="22"/>
              </w:rPr>
              <w:t>National Soc. Mob Committee</w:t>
            </w:r>
          </w:p>
        </w:tc>
        <w:tc>
          <w:tcPr>
            <w:tcW w:w="1260" w:type="dxa"/>
          </w:tcPr>
          <w:p w:rsidR="00900D9A" w:rsidRPr="004813D0" w:rsidRDefault="00900D9A" w:rsidP="00900D9A">
            <w:pPr>
              <w:jc w:val="both"/>
              <w:rPr>
                <w:sz w:val="22"/>
                <w:szCs w:val="22"/>
              </w:rPr>
            </w:pPr>
            <w:r w:rsidRPr="004813D0">
              <w:rPr>
                <w:sz w:val="22"/>
                <w:szCs w:val="22"/>
              </w:rPr>
              <w:t>20,000</w:t>
            </w:r>
          </w:p>
        </w:tc>
      </w:tr>
      <w:tr w:rsidR="00900D9A" w:rsidRPr="0087011F" w:rsidTr="004D7702">
        <w:tc>
          <w:tcPr>
            <w:tcW w:w="630" w:type="dxa"/>
          </w:tcPr>
          <w:p w:rsidR="00900D9A" w:rsidRPr="004813D0" w:rsidRDefault="00900D9A" w:rsidP="00900D9A">
            <w:pPr>
              <w:jc w:val="both"/>
              <w:rPr>
                <w:b/>
                <w:sz w:val="22"/>
                <w:szCs w:val="22"/>
              </w:rPr>
            </w:pPr>
            <w:r w:rsidRPr="004813D0">
              <w:rPr>
                <w:b/>
                <w:sz w:val="22"/>
                <w:szCs w:val="22"/>
              </w:rPr>
              <w:t>5</w:t>
            </w:r>
          </w:p>
        </w:tc>
        <w:tc>
          <w:tcPr>
            <w:tcW w:w="2970" w:type="dxa"/>
          </w:tcPr>
          <w:p w:rsidR="00900D9A" w:rsidRPr="004813D0" w:rsidRDefault="00900D9A" w:rsidP="00900D9A">
            <w:pPr>
              <w:jc w:val="both"/>
              <w:rPr>
                <w:b/>
                <w:sz w:val="22"/>
                <w:szCs w:val="22"/>
              </w:rPr>
            </w:pPr>
            <w:r w:rsidRPr="004813D0">
              <w:rPr>
                <w:sz w:val="22"/>
                <w:szCs w:val="22"/>
              </w:rPr>
              <w:t xml:space="preserve">Sensitization of Stake holder </w:t>
            </w:r>
            <w:r w:rsidRPr="004813D0">
              <w:rPr>
                <w:sz w:val="22"/>
                <w:szCs w:val="22"/>
              </w:rPr>
              <w:lastRenderedPageBreak/>
              <w:t>and Policy makers at all levels</w:t>
            </w:r>
          </w:p>
        </w:tc>
        <w:tc>
          <w:tcPr>
            <w:tcW w:w="1800" w:type="dxa"/>
          </w:tcPr>
          <w:p w:rsidR="00900D9A" w:rsidRPr="004813D0" w:rsidRDefault="00900D9A" w:rsidP="00900D9A">
            <w:pPr>
              <w:rPr>
                <w:sz w:val="22"/>
                <w:szCs w:val="22"/>
              </w:rPr>
            </w:pPr>
            <w:r w:rsidRPr="004813D0">
              <w:rPr>
                <w:sz w:val="22"/>
                <w:szCs w:val="22"/>
              </w:rPr>
              <w:lastRenderedPageBreak/>
              <w:t>April -June</w:t>
            </w:r>
          </w:p>
        </w:tc>
        <w:tc>
          <w:tcPr>
            <w:tcW w:w="2520" w:type="dxa"/>
          </w:tcPr>
          <w:p w:rsidR="00900D9A" w:rsidRPr="004813D0" w:rsidRDefault="00900D9A" w:rsidP="00900D9A">
            <w:pPr>
              <w:rPr>
                <w:sz w:val="22"/>
                <w:szCs w:val="22"/>
              </w:rPr>
            </w:pPr>
            <w:r w:rsidRPr="004813D0">
              <w:rPr>
                <w:sz w:val="22"/>
                <w:szCs w:val="22"/>
              </w:rPr>
              <w:t xml:space="preserve">MOHS, Dec Sec., Dist. </w:t>
            </w:r>
            <w:r w:rsidRPr="004813D0">
              <w:rPr>
                <w:sz w:val="22"/>
                <w:szCs w:val="22"/>
              </w:rPr>
              <w:lastRenderedPageBreak/>
              <w:t>councils</w:t>
            </w:r>
          </w:p>
        </w:tc>
        <w:tc>
          <w:tcPr>
            <w:tcW w:w="1260" w:type="dxa"/>
          </w:tcPr>
          <w:p w:rsidR="00900D9A" w:rsidRPr="004813D0" w:rsidRDefault="00900D9A" w:rsidP="00900D9A">
            <w:pPr>
              <w:jc w:val="both"/>
              <w:rPr>
                <w:sz w:val="22"/>
                <w:szCs w:val="22"/>
              </w:rPr>
            </w:pPr>
            <w:r w:rsidRPr="004813D0">
              <w:rPr>
                <w:sz w:val="22"/>
                <w:szCs w:val="22"/>
              </w:rPr>
              <w:lastRenderedPageBreak/>
              <w:t>25,000</w:t>
            </w:r>
          </w:p>
        </w:tc>
      </w:tr>
      <w:tr w:rsidR="00900D9A" w:rsidRPr="0087011F" w:rsidTr="004D7702">
        <w:tc>
          <w:tcPr>
            <w:tcW w:w="630" w:type="dxa"/>
          </w:tcPr>
          <w:p w:rsidR="00900D9A" w:rsidRPr="004813D0" w:rsidRDefault="00900D9A" w:rsidP="00900D9A">
            <w:pPr>
              <w:jc w:val="both"/>
              <w:rPr>
                <w:b/>
                <w:sz w:val="22"/>
                <w:szCs w:val="22"/>
              </w:rPr>
            </w:pPr>
            <w:r w:rsidRPr="004813D0">
              <w:rPr>
                <w:b/>
                <w:sz w:val="22"/>
                <w:szCs w:val="22"/>
              </w:rPr>
              <w:lastRenderedPageBreak/>
              <w:t>6</w:t>
            </w:r>
          </w:p>
        </w:tc>
        <w:tc>
          <w:tcPr>
            <w:tcW w:w="2970" w:type="dxa"/>
          </w:tcPr>
          <w:p w:rsidR="00900D9A" w:rsidRPr="004813D0" w:rsidRDefault="00900D9A" w:rsidP="00900D9A">
            <w:pPr>
              <w:jc w:val="both"/>
              <w:rPr>
                <w:sz w:val="22"/>
                <w:szCs w:val="22"/>
              </w:rPr>
            </w:pPr>
            <w:r w:rsidRPr="004813D0">
              <w:rPr>
                <w:sz w:val="22"/>
                <w:szCs w:val="22"/>
              </w:rPr>
              <w:t>Chiefdom Social Mobilisation Committee meetings and orientations (Local council, traditional leaders, religious leaders, teachers etc.)</w:t>
            </w:r>
          </w:p>
        </w:tc>
        <w:tc>
          <w:tcPr>
            <w:tcW w:w="1800" w:type="dxa"/>
          </w:tcPr>
          <w:p w:rsidR="00900D9A" w:rsidRPr="004813D0" w:rsidRDefault="00900D9A" w:rsidP="00900D9A">
            <w:pPr>
              <w:rPr>
                <w:sz w:val="22"/>
                <w:szCs w:val="22"/>
              </w:rPr>
            </w:pPr>
            <w:r w:rsidRPr="004813D0">
              <w:rPr>
                <w:sz w:val="22"/>
                <w:szCs w:val="22"/>
              </w:rPr>
              <w:t>One meeting per chiefdom starting March</w:t>
            </w:r>
          </w:p>
        </w:tc>
        <w:tc>
          <w:tcPr>
            <w:tcW w:w="2520" w:type="dxa"/>
          </w:tcPr>
          <w:p w:rsidR="00900D9A" w:rsidRPr="004813D0" w:rsidRDefault="00900D9A" w:rsidP="00900D9A">
            <w:pPr>
              <w:rPr>
                <w:sz w:val="22"/>
                <w:szCs w:val="22"/>
              </w:rPr>
            </w:pPr>
            <w:r w:rsidRPr="004813D0">
              <w:rPr>
                <w:sz w:val="22"/>
                <w:szCs w:val="22"/>
              </w:rPr>
              <w:t>MOHS, Dec. Sec. Dist. Councils/soc mob committees</w:t>
            </w:r>
          </w:p>
        </w:tc>
        <w:tc>
          <w:tcPr>
            <w:tcW w:w="1260" w:type="dxa"/>
          </w:tcPr>
          <w:p w:rsidR="00900D9A" w:rsidRPr="004813D0" w:rsidRDefault="00900D9A" w:rsidP="00900D9A">
            <w:pPr>
              <w:jc w:val="both"/>
              <w:rPr>
                <w:sz w:val="22"/>
                <w:szCs w:val="22"/>
              </w:rPr>
            </w:pPr>
            <w:r w:rsidRPr="004813D0">
              <w:rPr>
                <w:sz w:val="22"/>
                <w:szCs w:val="22"/>
              </w:rPr>
              <w:t>20,000</w:t>
            </w:r>
          </w:p>
        </w:tc>
      </w:tr>
      <w:tr w:rsidR="00900D9A" w:rsidRPr="0087011F" w:rsidTr="004D7702">
        <w:tc>
          <w:tcPr>
            <w:tcW w:w="630" w:type="dxa"/>
          </w:tcPr>
          <w:p w:rsidR="00900D9A" w:rsidRPr="004813D0" w:rsidRDefault="00900D9A" w:rsidP="00900D9A">
            <w:pPr>
              <w:jc w:val="both"/>
              <w:rPr>
                <w:b/>
                <w:sz w:val="22"/>
                <w:szCs w:val="22"/>
              </w:rPr>
            </w:pPr>
            <w:r w:rsidRPr="004813D0">
              <w:rPr>
                <w:b/>
                <w:sz w:val="22"/>
                <w:szCs w:val="22"/>
              </w:rPr>
              <w:t>7</w:t>
            </w:r>
          </w:p>
        </w:tc>
        <w:tc>
          <w:tcPr>
            <w:tcW w:w="2970" w:type="dxa"/>
          </w:tcPr>
          <w:p w:rsidR="00900D9A" w:rsidRPr="004813D0" w:rsidRDefault="00900D9A" w:rsidP="00900D9A">
            <w:pPr>
              <w:jc w:val="both"/>
              <w:rPr>
                <w:b/>
                <w:sz w:val="22"/>
                <w:szCs w:val="22"/>
              </w:rPr>
            </w:pPr>
            <w:r w:rsidRPr="004813D0">
              <w:rPr>
                <w:sz w:val="22"/>
                <w:szCs w:val="22"/>
              </w:rPr>
              <w:t>Press Orientation on the use  and benefit of ITNs at National level</w:t>
            </w:r>
          </w:p>
        </w:tc>
        <w:tc>
          <w:tcPr>
            <w:tcW w:w="1800" w:type="dxa"/>
          </w:tcPr>
          <w:p w:rsidR="00900D9A" w:rsidRPr="004813D0" w:rsidRDefault="00900D9A" w:rsidP="00900D9A">
            <w:pPr>
              <w:rPr>
                <w:sz w:val="22"/>
                <w:szCs w:val="22"/>
              </w:rPr>
            </w:pPr>
            <w:r w:rsidRPr="004813D0">
              <w:rPr>
                <w:sz w:val="22"/>
                <w:szCs w:val="22"/>
              </w:rPr>
              <w:t>Two press briefing per year April  &amp; Oct.</w:t>
            </w:r>
          </w:p>
        </w:tc>
        <w:tc>
          <w:tcPr>
            <w:tcW w:w="2520" w:type="dxa"/>
          </w:tcPr>
          <w:p w:rsidR="00900D9A" w:rsidRPr="004813D0" w:rsidRDefault="00900D9A" w:rsidP="00900D9A">
            <w:pPr>
              <w:rPr>
                <w:sz w:val="22"/>
                <w:szCs w:val="22"/>
              </w:rPr>
            </w:pPr>
            <w:r w:rsidRPr="004813D0">
              <w:rPr>
                <w:sz w:val="22"/>
                <w:szCs w:val="22"/>
              </w:rPr>
              <w:t>SLAJ, Soc. Mob. Committee</w:t>
            </w:r>
          </w:p>
        </w:tc>
        <w:tc>
          <w:tcPr>
            <w:tcW w:w="1260" w:type="dxa"/>
          </w:tcPr>
          <w:p w:rsidR="00900D9A" w:rsidRPr="004813D0" w:rsidRDefault="00900D9A" w:rsidP="00900D9A">
            <w:pPr>
              <w:jc w:val="both"/>
              <w:rPr>
                <w:sz w:val="22"/>
                <w:szCs w:val="22"/>
              </w:rPr>
            </w:pPr>
            <w:r w:rsidRPr="004813D0">
              <w:rPr>
                <w:sz w:val="22"/>
                <w:szCs w:val="22"/>
              </w:rPr>
              <w:t>4,000</w:t>
            </w:r>
          </w:p>
        </w:tc>
      </w:tr>
      <w:tr w:rsidR="00900D9A" w:rsidRPr="0087011F" w:rsidTr="004D7702">
        <w:tc>
          <w:tcPr>
            <w:tcW w:w="630" w:type="dxa"/>
          </w:tcPr>
          <w:p w:rsidR="00900D9A" w:rsidRPr="004813D0" w:rsidRDefault="00900D9A" w:rsidP="00900D9A">
            <w:pPr>
              <w:jc w:val="both"/>
              <w:rPr>
                <w:b/>
                <w:sz w:val="22"/>
                <w:szCs w:val="22"/>
              </w:rPr>
            </w:pPr>
            <w:r w:rsidRPr="004813D0">
              <w:rPr>
                <w:b/>
                <w:sz w:val="22"/>
                <w:szCs w:val="22"/>
              </w:rPr>
              <w:t>8</w:t>
            </w:r>
          </w:p>
        </w:tc>
        <w:tc>
          <w:tcPr>
            <w:tcW w:w="2970" w:type="dxa"/>
          </w:tcPr>
          <w:p w:rsidR="00900D9A" w:rsidRPr="004813D0" w:rsidRDefault="00900D9A" w:rsidP="00900D9A">
            <w:pPr>
              <w:jc w:val="both"/>
              <w:rPr>
                <w:b/>
                <w:sz w:val="22"/>
                <w:szCs w:val="22"/>
              </w:rPr>
            </w:pPr>
            <w:r w:rsidRPr="004813D0">
              <w:rPr>
                <w:sz w:val="22"/>
                <w:szCs w:val="22"/>
              </w:rPr>
              <w:t>Radio and TV panel discussions- phone-in-programs at National and District level</w:t>
            </w:r>
          </w:p>
        </w:tc>
        <w:tc>
          <w:tcPr>
            <w:tcW w:w="1800" w:type="dxa"/>
          </w:tcPr>
          <w:p w:rsidR="00900D9A" w:rsidRPr="004813D0" w:rsidRDefault="00900D9A" w:rsidP="00900D9A">
            <w:pPr>
              <w:rPr>
                <w:sz w:val="22"/>
                <w:szCs w:val="22"/>
              </w:rPr>
            </w:pPr>
            <w:r w:rsidRPr="004813D0">
              <w:rPr>
                <w:sz w:val="22"/>
                <w:szCs w:val="22"/>
              </w:rPr>
              <w:t>2/month throughout the year</w:t>
            </w:r>
          </w:p>
        </w:tc>
        <w:tc>
          <w:tcPr>
            <w:tcW w:w="2520" w:type="dxa"/>
          </w:tcPr>
          <w:p w:rsidR="00900D9A" w:rsidRPr="004813D0" w:rsidRDefault="00900D9A" w:rsidP="00900D9A">
            <w:pPr>
              <w:rPr>
                <w:sz w:val="22"/>
                <w:szCs w:val="22"/>
              </w:rPr>
            </w:pPr>
            <w:r w:rsidRPr="004813D0">
              <w:rPr>
                <w:sz w:val="22"/>
                <w:szCs w:val="22"/>
              </w:rPr>
              <w:t xml:space="preserve">Soc. Mob Committees, DHMT, Dist. Councils, Dist  Malaria Focal points </w:t>
            </w:r>
          </w:p>
        </w:tc>
        <w:tc>
          <w:tcPr>
            <w:tcW w:w="1260" w:type="dxa"/>
          </w:tcPr>
          <w:p w:rsidR="00900D9A" w:rsidRPr="004813D0" w:rsidRDefault="00900D9A" w:rsidP="00900D9A">
            <w:pPr>
              <w:jc w:val="both"/>
              <w:rPr>
                <w:sz w:val="22"/>
                <w:szCs w:val="22"/>
              </w:rPr>
            </w:pPr>
            <w:r w:rsidRPr="004813D0">
              <w:rPr>
                <w:sz w:val="22"/>
                <w:szCs w:val="22"/>
              </w:rPr>
              <w:t>9,000</w:t>
            </w:r>
          </w:p>
        </w:tc>
      </w:tr>
      <w:tr w:rsidR="00900D9A" w:rsidRPr="0087011F" w:rsidTr="004D7702">
        <w:tc>
          <w:tcPr>
            <w:tcW w:w="630" w:type="dxa"/>
          </w:tcPr>
          <w:p w:rsidR="00900D9A" w:rsidRPr="004813D0" w:rsidRDefault="00900D9A" w:rsidP="00900D9A">
            <w:pPr>
              <w:jc w:val="both"/>
              <w:rPr>
                <w:b/>
                <w:sz w:val="22"/>
                <w:szCs w:val="22"/>
              </w:rPr>
            </w:pPr>
            <w:r w:rsidRPr="004813D0">
              <w:rPr>
                <w:b/>
                <w:sz w:val="22"/>
                <w:szCs w:val="22"/>
              </w:rPr>
              <w:t>9</w:t>
            </w:r>
          </w:p>
        </w:tc>
        <w:tc>
          <w:tcPr>
            <w:tcW w:w="2970" w:type="dxa"/>
            <w:vAlign w:val="bottom"/>
          </w:tcPr>
          <w:p w:rsidR="00900D9A" w:rsidRPr="004813D0" w:rsidRDefault="00900D9A" w:rsidP="00900D9A">
            <w:pPr>
              <w:rPr>
                <w:sz w:val="22"/>
                <w:szCs w:val="22"/>
              </w:rPr>
            </w:pPr>
            <w:r w:rsidRPr="004813D0">
              <w:rPr>
                <w:sz w:val="22"/>
                <w:szCs w:val="22"/>
              </w:rPr>
              <w:t xml:space="preserve"> Airing of jingles at National and district level.</w:t>
            </w:r>
          </w:p>
        </w:tc>
        <w:tc>
          <w:tcPr>
            <w:tcW w:w="1800" w:type="dxa"/>
          </w:tcPr>
          <w:p w:rsidR="00900D9A" w:rsidRPr="004813D0" w:rsidRDefault="00900D9A" w:rsidP="00900D9A">
            <w:pPr>
              <w:rPr>
                <w:sz w:val="22"/>
                <w:szCs w:val="22"/>
              </w:rPr>
            </w:pPr>
            <w:r w:rsidRPr="004813D0">
              <w:rPr>
                <w:sz w:val="22"/>
                <w:szCs w:val="22"/>
              </w:rPr>
              <w:t>Throughout the year</w:t>
            </w:r>
          </w:p>
        </w:tc>
        <w:tc>
          <w:tcPr>
            <w:tcW w:w="2520" w:type="dxa"/>
          </w:tcPr>
          <w:p w:rsidR="00900D9A" w:rsidRPr="004813D0" w:rsidRDefault="00900D9A" w:rsidP="00900D9A">
            <w:pPr>
              <w:jc w:val="both"/>
              <w:rPr>
                <w:sz w:val="22"/>
                <w:szCs w:val="22"/>
              </w:rPr>
            </w:pPr>
            <w:r w:rsidRPr="004813D0">
              <w:rPr>
                <w:sz w:val="22"/>
                <w:szCs w:val="22"/>
              </w:rPr>
              <w:t>20 radio stations</w:t>
            </w:r>
          </w:p>
        </w:tc>
        <w:tc>
          <w:tcPr>
            <w:tcW w:w="1260" w:type="dxa"/>
          </w:tcPr>
          <w:p w:rsidR="00900D9A" w:rsidRPr="004813D0" w:rsidRDefault="00900D9A" w:rsidP="00900D9A">
            <w:pPr>
              <w:jc w:val="both"/>
              <w:rPr>
                <w:sz w:val="22"/>
                <w:szCs w:val="22"/>
              </w:rPr>
            </w:pPr>
            <w:r w:rsidRPr="004813D0">
              <w:rPr>
                <w:sz w:val="22"/>
                <w:szCs w:val="22"/>
              </w:rPr>
              <w:t>3,000</w:t>
            </w:r>
          </w:p>
        </w:tc>
      </w:tr>
      <w:tr w:rsidR="00900D9A" w:rsidRPr="0087011F" w:rsidTr="004D7702">
        <w:tc>
          <w:tcPr>
            <w:tcW w:w="9180" w:type="dxa"/>
            <w:gridSpan w:val="5"/>
            <w:shd w:val="clear" w:color="auto" w:fill="C6D9F1" w:themeFill="text2" w:themeFillTint="33"/>
          </w:tcPr>
          <w:p w:rsidR="00900D9A" w:rsidRPr="004813D0" w:rsidRDefault="00900D9A" w:rsidP="00900D9A">
            <w:pPr>
              <w:jc w:val="both"/>
              <w:rPr>
                <w:sz w:val="22"/>
                <w:szCs w:val="22"/>
              </w:rPr>
            </w:pPr>
            <w:r w:rsidRPr="004813D0">
              <w:rPr>
                <w:b/>
                <w:bCs/>
                <w:sz w:val="22"/>
                <w:szCs w:val="22"/>
              </w:rPr>
              <w:t xml:space="preserve">MONITORING AND SUPERVISION </w:t>
            </w:r>
          </w:p>
        </w:tc>
      </w:tr>
      <w:tr w:rsidR="00900D9A" w:rsidRPr="0087011F" w:rsidTr="004D7702">
        <w:trPr>
          <w:trHeight w:val="692"/>
        </w:trPr>
        <w:tc>
          <w:tcPr>
            <w:tcW w:w="630" w:type="dxa"/>
          </w:tcPr>
          <w:p w:rsidR="00900D9A" w:rsidRPr="004813D0" w:rsidRDefault="00900D9A" w:rsidP="00900D9A">
            <w:pPr>
              <w:jc w:val="both"/>
              <w:rPr>
                <w:b/>
                <w:sz w:val="22"/>
                <w:szCs w:val="22"/>
              </w:rPr>
            </w:pPr>
            <w:r w:rsidRPr="004813D0">
              <w:rPr>
                <w:b/>
                <w:sz w:val="22"/>
                <w:szCs w:val="22"/>
              </w:rPr>
              <w:t>10</w:t>
            </w:r>
          </w:p>
        </w:tc>
        <w:tc>
          <w:tcPr>
            <w:tcW w:w="2970" w:type="dxa"/>
            <w:vAlign w:val="bottom"/>
          </w:tcPr>
          <w:p w:rsidR="00900D9A" w:rsidRPr="004813D0" w:rsidRDefault="00900D9A" w:rsidP="00900D9A">
            <w:pPr>
              <w:rPr>
                <w:sz w:val="22"/>
                <w:szCs w:val="22"/>
              </w:rPr>
            </w:pPr>
            <w:r w:rsidRPr="004813D0">
              <w:rPr>
                <w:sz w:val="22"/>
                <w:szCs w:val="22"/>
              </w:rPr>
              <w:t>Review and produce monitoring tools and supervisory protocol – (Soc. Mob Assessment tools.</w:t>
            </w:r>
          </w:p>
        </w:tc>
        <w:tc>
          <w:tcPr>
            <w:tcW w:w="1800" w:type="dxa"/>
          </w:tcPr>
          <w:p w:rsidR="00900D9A" w:rsidRPr="004813D0" w:rsidRDefault="00900D9A" w:rsidP="00900D9A">
            <w:pPr>
              <w:rPr>
                <w:sz w:val="22"/>
                <w:szCs w:val="22"/>
              </w:rPr>
            </w:pPr>
            <w:r w:rsidRPr="004813D0">
              <w:rPr>
                <w:sz w:val="22"/>
                <w:szCs w:val="22"/>
              </w:rPr>
              <w:t>March to Dec 2011 ( one visit per month)</w:t>
            </w:r>
          </w:p>
        </w:tc>
        <w:tc>
          <w:tcPr>
            <w:tcW w:w="2520" w:type="dxa"/>
          </w:tcPr>
          <w:p w:rsidR="00900D9A" w:rsidRPr="004813D0" w:rsidRDefault="00900D9A" w:rsidP="00900D9A">
            <w:pPr>
              <w:jc w:val="both"/>
              <w:rPr>
                <w:sz w:val="22"/>
                <w:szCs w:val="22"/>
              </w:rPr>
            </w:pPr>
            <w:r w:rsidRPr="004813D0">
              <w:rPr>
                <w:sz w:val="22"/>
                <w:szCs w:val="22"/>
              </w:rPr>
              <w:t xml:space="preserve">MOHS, M &amp; E, Dist. Councils, Nat. Soc. Mob. Committee </w:t>
            </w:r>
          </w:p>
        </w:tc>
        <w:tc>
          <w:tcPr>
            <w:tcW w:w="1260" w:type="dxa"/>
          </w:tcPr>
          <w:p w:rsidR="00900D9A" w:rsidRPr="004813D0" w:rsidRDefault="00900D9A" w:rsidP="00900D9A">
            <w:pPr>
              <w:jc w:val="both"/>
              <w:rPr>
                <w:sz w:val="22"/>
                <w:szCs w:val="22"/>
              </w:rPr>
            </w:pPr>
            <w:r w:rsidRPr="004813D0">
              <w:rPr>
                <w:sz w:val="22"/>
                <w:szCs w:val="22"/>
              </w:rPr>
              <w:t>4,000</w:t>
            </w:r>
          </w:p>
        </w:tc>
      </w:tr>
      <w:tr w:rsidR="00900D9A" w:rsidRPr="0087011F" w:rsidTr="004D7702">
        <w:tc>
          <w:tcPr>
            <w:tcW w:w="630" w:type="dxa"/>
          </w:tcPr>
          <w:p w:rsidR="00900D9A" w:rsidRPr="004813D0" w:rsidRDefault="00900D9A" w:rsidP="00900D9A">
            <w:pPr>
              <w:jc w:val="both"/>
              <w:rPr>
                <w:b/>
                <w:sz w:val="22"/>
                <w:szCs w:val="22"/>
              </w:rPr>
            </w:pPr>
            <w:r w:rsidRPr="004813D0">
              <w:rPr>
                <w:b/>
                <w:sz w:val="22"/>
                <w:szCs w:val="22"/>
              </w:rPr>
              <w:t>11</w:t>
            </w:r>
          </w:p>
        </w:tc>
        <w:tc>
          <w:tcPr>
            <w:tcW w:w="2970" w:type="dxa"/>
            <w:vAlign w:val="bottom"/>
          </w:tcPr>
          <w:p w:rsidR="00900D9A" w:rsidRPr="004813D0" w:rsidRDefault="00900D9A" w:rsidP="00900D9A">
            <w:pPr>
              <w:rPr>
                <w:sz w:val="22"/>
                <w:szCs w:val="22"/>
              </w:rPr>
            </w:pPr>
            <w:r w:rsidRPr="004813D0">
              <w:rPr>
                <w:sz w:val="22"/>
                <w:szCs w:val="22"/>
              </w:rPr>
              <w:t>Train CORPs on monitoring the usage of ITNs at community level.</w:t>
            </w:r>
          </w:p>
        </w:tc>
        <w:tc>
          <w:tcPr>
            <w:tcW w:w="1800" w:type="dxa"/>
          </w:tcPr>
          <w:p w:rsidR="00900D9A" w:rsidRPr="00EB6BFA" w:rsidRDefault="00900D9A" w:rsidP="00900D9A">
            <w:pPr>
              <w:rPr>
                <w:sz w:val="22"/>
                <w:szCs w:val="22"/>
                <w:lang w:val="fr-FR"/>
              </w:rPr>
            </w:pPr>
            <w:r w:rsidRPr="00EB6BFA">
              <w:rPr>
                <w:sz w:val="22"/>
                <w:szCs w:val="22"/>
                <w:lang w:val="fr-FR"/>
              </w:rPr>
              <w:t>Train 2 CORPS per c/dom</w:t>
            </w:r>
          </w:p>
        </w:tc>
        <w:tc>
          <w:tcPr>
            <w:tcW w:w="2520" w:type="dxa"/>
          </w:tcPr>
          <w:p w:rsidR="00900D9A" w:rsidRPr="004813D0" w:rsidRDefault="00900D9A" w:rsidP="00900D9A">
            <w:pPr>
              <w:jc w:val="both"/>
              <w:rPr>
                <w:sz w:val="22"/>
                <w:szCs w:val="22"/>
              </w:rPr>
            </w:pPr>
            <w:r w:rsidRPr="004813D0">
              <w:rPr>
                <w:sz w:val="22"/>
                <w:szCs w:val="22"/>
              </w:rPr>
              <w:t>NMCP, DHMT, Soc. Mob. Committee</w:t>
            </w:r>
          </w:p>
        </w:tc>
        <w:tc>
          <w:tcPr>
            <w:tcW w:w="1260" w:type="dxa"/>
          </w:tcPr>
          <w:p w:rsidR="00900D9A" w:rsidRPr="004813D0" w:rsidRDefault="00900D9A" w:rsidP="00900D9A">
            <w:pPr>
              <w:jc w:val="both"/>
              <w:rPr>
                <w:sz w:val="22"/>
                <w:szCs w:val="22"/>
              </w:rPr>
            </w:pPr>
            <w:r w:rsidRPr="004813D0">
              <w:rPr>
                <w:sz w:val="22"/>
                <w:szCs w:val="22"/>
              </w:rPr>
              <w:t>4,500</w:t>
            </w:r>
          </w:p>
        </w:tc>
      </w:tr>
      <w:tr w:rsidR="00900D9A" w:rsidRPr="0087011F" w:rsidTr="004D7702">
        <w:tc>
          <w:tcPr>
            <w:tcW w:w="630" w:type="dxa"/>
          </w:tcPr>
          <w:p w:rsidR="00900D9A" w:rsidRPr="004813D0" w:rsidRDefault="00900D9A" w:rsidP="00900D9A">
            <w:pPr>
              <w:jc w:val="both"/>
              <w:rPr>
                <w:b/>
                <w:sz w:val="22"/>
                <w:szCs w:val="22"/>
              </w:rPr>
            </w:pPr>
            <w:r w:rsidRPr="004813D0">
              <w:rPr>
                <w:b/>
                <w:sz w:val="22"/>
                <w:szCs w:val="22"/>
              </w:rPr>
              <w:t>12</w:t>
            </w:r>
          </w:p>
        </w:tc>
        <w:tc>
          <w:tcPr>
            <w:tcW w:w="2970" w:type="dxa"/>
            <w:vAlign w:val="bottom"/>
          </w:tcPr>
          <w:p w:rsidR="00900D9A" w:rsidRPr="004813D0" w:rsidRDefault="00900D9A" w:rsidP="00900D9A">
            <w:pPr>
              <w:rPr>
                <w:sz w:val="22"/>
                <w:szCs w:val="22"/>
              </w:rPr>
            </w:pPr>
            <w:r w:rsidRPr="004813D0">
              <w:rPr>
                <w:sz w:val="22"/>
                <w:szCs w:val="22"/>
              </w:rPr>
              <w:t>Quarterly supervision visit from National to districts</w:t>
            </w:r>
          </w:p>
        </w:tc>
        <w:tc>
          <w:tcPr>
            <w:tcW w:w="1800" w:type="dxa"/>
          </w:tcPr>
          <w:p w:rsidR="00900D9A" w:rsidRPr="004813D0" w:rsidRDefault="00900D9A" w:rsidP="00900D9A">
            <w:pPr>
              <w:rPr>
                <w:sz w:val="22"/>
                <w:szCs w:val="22"/>
              </w:rPr>
            </w:pPr>
            <w:r w:rsidRPr="004813D0">
              <w:rPr>
                <w:sz w:val="22"/>
                <w:szCs w:val="22"/>
              </w:rPr>
              <w:t>Four visits per year</w:t>
            </w:r>
          </w:p>
        </w:tc>
        <w:tc>
          <w:tcPr>
            <w:tcW w:w="2520" w:type="dxa"/>
          </w:tcPr>
          <w:p w:rsidR="00900D9A" w:rsidRPr="004813D0" w:rsidRDefault="00900D9A" w:rsidP="00900D9A">
            <w:pPr>
              <w:jc w:val="both"/>
              <w:rPr>
                <w:sz w:val="22"/>
                <w:szCs w:val="22"/>
              </w:rPr>
            </w:pPr>
            <w:r w:rsidRPr="004813D0">
              <w:rPr>
                <w:sz w:val="22"/>
                <w:szCs w:val="22"/>
              </w:rPr>
              <w:t>NMCP/MOHS</w:t>
            </w:r>
          </w:p>
        </w:tc>
        <w:tc>
          <w:tcPr>
            <w:tcW w:w="1260" w:type="dxa"/>
          </w:tcPr>
          <w:p w:rsidR="00900D9A" w:rsidRPr="004813D0" w:rsidRDefault="00900D9A" w:rsidP="00900D9A">
            <w:pPr>
              <w:jc w:val="both"/>
              <w:rPr>
                <w:sz w:val="22"/>
                <w:szCs w:val="22"/>
              </w:rPr>
            </w:pPr>
            <w:r w:rsidRPr="004813D0">
              <w:rPr>
                <w:sz w:val="22"/>
                <w:szCs w:val="22"/>
              </w:rPr>
              <w:t>6,000</w:t>
            </w:r>
          </w:p>
        </w:tc>
      </w:tr>
      <w:tr w:rsidR="00900D9A" w:rsidRPr="0087011F" w:rsidTr="004D7702">
        <w:tc>
          <w:tcPr>
            <w:tcW w:w="630" w:type="dxa"/>
          </w:tcPr>
          <w:p w:rsidR="00900D9A" w:rsidRPr="004813D0" w:rsidRDefault="00900D9A" w:rsidP="00900D9A">
            <w:pPr>
              <w:jc w:val="both"/>
              <w:rPr>
                <w:b/>
                <w:sz w:val="22"/>
                <w:szCs w:val="22"/>
              </w:rPr>
            </w:pPr>
            <w:r w:rsidRPr="004813D0">
              <w:rPr>
                <w:b/>
                <w:sz w:val="22"/>
                <w:szCs w:val="22"/>
              </w:rPr>
              <w:t>13</w:t>
            </w:r>
          </w:p>
        </w:tc>
        <w:tc>
          <w:tcPr>
            <w:tcW w:w="2970" w:type="dxa"/>
            <w:vAlign w:val="bottom"/>
          </w:tcPr>
          <w:p w:rsidR="00900D9A" w:rsidRPr="004813D0" w:rsidRDefault="00900D9A" w:rsidP="00900D9A">
            <w:pPr>
              <w:rPr>
                <w:sz w:val="22"/>
                <w:szCs w:val="22"/>
              </w:rPr>
            </w:pPr>
            <w:r w:rsidRPr="004813D0">
              <w:rPr>
                <w:sz w:val="22"/>
                <w:szCs w:val="22"/>
              </w:rPr>
              <w:t>Monthly supervision visit from district to PHUs and community.</w:t>
            </w:r>
          </w:p>
        </w:tc>
        <w:tc>
          <w:tcPr>
            <w:tcW w:w="1800" w:type="dxa"/>
          </w:tcPr>
          <w:p w:rsidR="00900D9A" w:rsidRPr="004813D0" w:rsidRDefault="00900D9A" w:rsidP="00900D9A">
            <w:pPr>
              <w:jc w:val="both"/>
              <w:rPr>
                <w:sz w:val="22"/>
                <w:szCs w:val="22"/>
              </w:rPr>
            </w:pPr>
            <w:r w:rsidRPr="004813D0">
              <w:rPr>
                <w:sz w:val="22"/>
                <w:szCs w:val="22"/>
              </w:rPr>
              <w:t>10 visits per year</w:t>
            </w:r>
          </w:p>
        </w:tc>
        <w:tc>
          <w:tcPr>
            <w:tcW w:w="2520" w:type="dxa"/>
          </w:tcPr>
          <w:p w:rsidR="00900D9A" w:rsidRPr="004813D0" w:rsidRDefault="00900D9A" w:rsidP="00900D9A">
            <w:pPr>
              <w:jc w:val="both"/>
              <w:rPr>
                <w:sz w:val="22"/>
                <w:szCs w:val="22"/>
              </w:rPr>
            </w:pPr>
            <w:r w:rsidRPr="004813D0">
              <w:rPr>
                <w:sz w:val="22"/>
                <w:szCs w:val="22"/>
              </w:rPr>
              <w:t>NMCP/MOHS</w:t>
            </w:r>
          </w:p>
        </w:tc>
        <w:tc>
          <w:tcPr>
            <w:tcW w:w="1260" w:type="dxa"/>
          </w:tcPr>
          <w:p w:rsidR="00900D9A" w:rsidRPr="004813D0" w:rsidRDefault="00900D9A" w:rsidP="00900D9A">
            <w:pPr>
              <w:jc w:val="both"/>
              <w:rPr>
                <w:sz w:val="22"/>
                <w:szCs w:val="22"/>
              </w:rPr>
            </w:pPr>
            <w:r w:rsidRPr="004813D0">
              <w:rPr>
                <w:sz w:val="22"/>
                <w:szCs w:val="22"/>
              </w:rPr>
              <w:t>5,000</w:t>
            </w:r>
          </w:p>
        </w:tc>
      </w:tr>
      <w:tr w:rsidR="00365AE0" w:rsidRPr="0087011F" w:rsidTr="004D7702">
        <w:tc>
          <w:tcPr>
            <w:tcW w:w="630" w:type="dxa"/>
          </w:tcPr>
          <w:p w:rsidR="00365AE0" w:rsidRPr="004813D0" w:rsidRDefault="00365AE0" w:rsidP="00930B53">
            <w:pPr>
              <w:jc w:val="both"/>
              <w:rPr>
                <w:b/>
                <w:sz w:val="22"/>
                <w:szCs w:val="22"/>
              </w:rPr>
            </w:pPr>
            <w:r>
              <w:rPr>
                <w:b/>
                <w:sz w:val="22"/>
                <w:szCs w:val="22"/>
              </w:rPr>
              <w:t>14</w:t>
            </w:r>
          </w:p>
        </w:tc>
        <w:tc>
          <w:tcPr>
            <w:tcW w:w="2970" w:type="dxa"/>
            <w:vAlign w:val="bottom"/>
          </w:tcPr>
          <w:p w:rsidR="00365AE0" w:rsidRPr="004813D0" w:rsidRDefault="00365AE0" w:rsidP="00930B53">
            <w:pPr>
              <w:rPr>
                <w:sz w:val="22"/>
                <w:szCs w:val="22"/>
              </w:rPr>
            </w:pPr>
            <w:r>
              <w:rPr>
                <w:sz w:val="22"/>
                <w:szCs w:val="22"/>
              </w:rPr>
              <w:t xml:space="preserve">Training of PHU health personnel in adequately manage and report malaria cases </w:t>
            </w:r>
          </w:p>
        </w:tc>
        <w:tc>
          <w:tcPr>
            <w:tcW w:w="1800" w:type="dxa"/>
          </w:tcPr>
          <w:p w:rsidR="00365AE0" w:rsidRPr="004813D0" w:rsidRDefault="00365AE0" w:rsidP="00930B53">
            <w:pPr>
              <w:jc w:val="both"/>
              <w:rPr>
                <w:sz w:val="22"/>
                <w:szCs w:val="22"/>
              </w:rPr>
            </w:pPr>
            <w:r>
              <w:rPr>
                <w:sz w:val="22"/>
                <w:szCs w:val="22"/>
              </w:rPr>
              <w:t>April-May</w:t>
            </w:r>
          </w:p>
        </w:tc>
        <w:tc>
          <w:tcPr>
            <w:tcW w:w="2520" w:type="dxa"/>
          </w:tcPr>
          <w:p w:rsidR="00365AE0" w:rsidRPr="004813D0" w:rsidRDefault="00365AE0" w:rsidP="00930B53">
            <w:pPr>
              <w:jc w:val="both"/>
              <w:rPr>
                <w:sz w:val="22"/>
                <w:szCs w:val="22"/>
              </w:rPr>
            </w:pPr>
            <w:r w:rsidRPr="004813D0">
              <w:rPr>
                <w:sz w:val="22"/>
                <w:szCs w:val="22"/>
              </w:rPr>
              <w:t>NMCP/MOHS</w:t>
            </w:r>
          </w:p>
        </w:tc>
        <w:tc>
          <w:tcPr>
            <w:tcW w:w="1260" w:type="dxa"/>
          </w:tcPr>
          <w:p w:rsidR="00365AE0" w:rsidRPr="004813D0" w:rsidRDefault="00365AE0" w:rsidP="00930B53">
            <w:pPr>
              <w:jc w:val="both"/>
              <w:rPr>
                <w:sz w:val="22"/>
                <w:szCs w:val="22"/>
              </w:rPr>
            </w:pPr>
            <w:r>
              <w:rPr>
                <w:sz w:val="22"/>
                <w:szCs w:val="22"/>
              </w:rPr>
              <w:t>150,000</w:t>
            </w:r>
          </w:p>
        </w:tc>
      </w:tr>
      <w:tr w:rsidR="00365AE0" w:rsidRPr="0087011F" w:rsidTr="004D7702">
        <w:tc>
          <w:tcPr>
            <w:tcW w:w="630" w:type="dxa"/>
          </w:tcPr>
          <w:p w:rsidR="00365AE0" w:rsidRPr="004813D0" w:rsidRDefault="00365AE0" w:rsidP="00930B53">
            <w:pPr>
              <w:jc w:val="both"/>
              <w:rPr>
                <w:b/>
                <w:sz w:val="22"/>
                <w:szCs w:val="22"/>
              </w:rPr>
            </w:pPr>
            <w:r>
              <w:rPr>
                <w:b/>
                <w:sz w:val="22"/>
                <w:szCs w:val="22"/>
              </w:rPr>
              <w:t>15</w:t>
            </w:r>
          </w:p>
        </w:tc>
        <w:tc>
          <w:tcPr>
            <w:tcW w:w="2970" w:type="dxa"/>
            <w:vAlign w:val="bottom"/>
          </w:tcPr>
          <w:p w:rsidR="00365AE0" w:rsidRPr="004813D0" w:rsidRDefault="00365AE0" w:rsidP="00930B53">
            <w:pPr>
              <w:rPr>
                <w:sz w:val="22"/>
                <w:szCs w:val="22"/>
              </w:rPr>
            </w:pPr>
            <w:r>
              <w:rPr>
                <w:sz w:val="22"/>
                <w:szCs w:val="22"/>
              </w:rPr>
              <w:t>Post LLIN campaign and utilization survey</w:t>
            </w:r>
          </w:p>
        </w:tc>
        <w:tc>
          <w:tcPr>
            <w:tcW w:w="1800" w:type="dxa"/>
          </w:tcPr>
          <w:p w:rsidR="00365AE0" w:rsidRPr="004813D0" w:rsidRDefault="00365AE0" w:rsidP="00930B53">
            <w:pPr>
              <w:jc w:val="both"/>
              <w:rPr>
                <w:sz w:val="22"/>
                <w:szCs w:val="22"/>
              </w:rPr>
            </w:pPr>
            <w:r>
              <w:rPr>
                <w:sz w:val="22"/>
                <w:szCs w:val="22"/>
              </w:rPr>
              <w:t>June-July</w:t>
            </w:r>
          </w:p>
        </w:tc>
        <w:tc>
          <w:tcPr>
            <w:tcW w:w="2520" w:type="dxa"/>
          </w:tcPr>
          <w:p w:rsidR="00365AE0" w:rsidRPr="004813D0" w:rsidRDefault="00365AE0" w:rsidP="00930B53">
            <w:pPr>
              <w:jc w:val="both"/>
              <w:rPr>
                <w:sz w:val="22"/>
                <w:szCs w:val="22"/>
              </w:rPr>
            </w:pPr>
            <w:r w:rsidRPr="004813D0">
              <w:rPr>
                <w:sz w:val="22"/>
                <w:szCs w:val="22"/>
              </w:rPr>
              <w:t>NMCP/MOHS</w:t>
            </w:r>
          </w:p>
        </w:tc>
        <w:tc>
          <w:tcPr>
            <w:tcW w:w="1260" w:type="dxa"/>
          </w:tcPr>
          <w:p w:rsidR="00365AE0" w:rsidRPr="004813D0" w:rsidRDefault="00365AE0" w:rsidP="00930B53">
            <w:pPr>
              <w:jc w:val="both"/>
              <w:rPr>
                <w:sz w:val="22"/>
                <w:szCs w:val="22"/>
              </w:rPr>
            </w:pPr>
            <w:r>
              <w:rPr>
                <w:sz w:val="22"/>
                <w:szCs w:val="22"/>
              </w:rPr>
              <w:t>100,000</w:t>
            </w:r>
          </w:p>
        </w:tc>
      </w:tr>
      <w:tr w:rsidR="00365AE0" w:rsidRPr="0087011F" w:rsidTr="004D7702">
        <w:trPr>
          <w:trHeight w:val="233"/>
        </w:trPr>
        <w:tc>
          <w:tcPr>
            <w:tcW w:w="7920" w:type="dxa"/>
            <w:gridSpan w:val="4"/>
            <w:shd w:val="clear" w:color="auto" w:fill="F2DBDB" w:themeFill="accent2" w:themeFillTint="33"/>
          </w:tcPr>
          <w:p w:rsidR="00365AE0" w:rsidRPr="004813D0" w:rsidRDefault="00365AE0" w:rsidP="00900D9A">
            <w:pPr>
              <w:rPr>
                <w:b/>
              </w:rPr>
            </w:pPr>
            <w:r w:rsidRPr="004813D0">
              <w:rPr>
                <w:b/>
              </w:rPr>
              <w:t>GRAND TOTAL</w:t>
            </w:r>
          </w:p>
        </w:tc>
        <w:tc>
          <w:tcPr>
            <w:tcW w:w="1260" w:type="dxa"/>
            <w:shd w:val="clear" w:color="auto" w:fill="F2DBDB" w:themeFill="accent2" w:themeFillTint="33"/>
          </w:tcPr>
          <w:p w:rsidR="00365AE0" w:rsidRPr="004813D0" w:rsidRDefault="00365AE0" w:rsidP="00900D9A">
            <w:pPr>
              <w:jc w:val="both"/>
              <w:rPr>
                <w:b/>
              </w:rPr>
            </w:pPr>
            <w:r>
              <w:rPr>
                <w:b/>
              </w:rPr>
              <w:t>38</w:t>
            </w:r>
            <w:r w:rsidRPr="004813D0">
              <w:rPr>
                <w:b/>
              </w:rPr>
              <w:t>0,500</w:t>
            </w:r>
          </w:p>
        </w:tc>
      </w:tr>
    </w:tbl>
    <w:p w:rsidR="00900D9A" w:rsidRDefault="00900D9A" w:rsidP="00900D9A"/>
    <w:p w:rsidR="00900D9A" w:rsidRDefault="00900D9A" w:rsidP="00900D9A"/>
    <w:p w:rsidR="00900D9A" w:rsidRPr="000B017F" w:rsidRDefault="00900D9A" w:rsidP="000B017F">
      <w:pPr>
        <w:spacing w:after="120"/>
        <w:rPr>
          <w:u w:val="single"/>
        </w:rPr>
      </w:pPr>
      <w:r w:rsidRPr="00792776">
        <w:rPr>
          <w:u w:val="single"/>
        </w:rPr>
        <w:t>Technical and operational support to malaria vector control interventions – WHO</w:t>
      </w:r>
    </w:p>
    <w:p w:rsidR="00AF3646" w:rsidRDefault="00AF3646" w:rsidP="00FC00B0">
      <w:pPr>
        <w:spacing w:after="160"/>
        <w:jc w:val="both"/>
        <w:rPr>
          <w:bCs/>
        </w:rPr>
      </w:pPr>
      <w:r>
        <w:rPr>
          <w:bCs/>
        </w:rPr>
        <w:t xml:space="preserve">There is a funding gap between the work done on so far on IRS and the expected support from Global Fund to sustain </w:t>
      </w:r>
      <w:r w:rsidRPr="00957B79">
        <w:rPr>
          <w:bCs/>
        </w:rPr>
        <w:t xml:space="preserve">IRS piloted in the four districts </w:t>
      </w:r>
      <w:r>
        <w:rPr>
          <w:bCs/>
        </w:rPr>
        <w:t>and</w:t>
      </w:r>
      <w:r w:rsidRPr="00957B79">
        <w:rPr>
          <w:bCs/>
        </w:rPr>
        <w:t xml:space="preserve"> scale up to other districts</w:t>
      </w:r>
      <w:r>
        <w:rPr>
          <w:bCs/>
        </w:rPr>
        <w:t xml:space="preserve">. Support will go to catalyze IRS activities, ensure availability of enough evidence to demonstrate the impact of IRS on malaria control as in other countries and to support resource mobilization </w:t>
      </w:r>
      <w:r w:rsidRPr="00FC00B0">
        <w:t>from</w:t>
      </w:r>
      <w:r>
        <w:rPr>
          <w:bCs/>
        </w:rPr>
        <w:t xml:space="preserve"> financiers such as the Global Fund. </w:t>
      </w:r>
    </w:p>
    <w:p w:rsidR="00AF3646" w:rsidRDefault="00AF3646" w:rsidP="00FC00B0">
      <w:pPr>
        <w:spacing w:after="160"/>
        <w:jc w:val="both"/>
        <w:rPr>
          <w:bCs/>
        </w:rPr>
      </w:pPr>
      <w:r>
        <w:rPr>
          <w:bCs/>
        </w:rPr>
        <w:t xml:space="preserve">The LLINs universal access campaign conducted in November 2010 with support from the UN and other partners resulted in Sierra Leone attaining the Abuja target for LLINs  coverage.( 80% of population at risk of malaria have LLINs). This coverage needs to be maintained and </w:t>
      </w:r>
      <w:r w:rsidRPr="00FC00B0">
        <w:t>sustained</w:t>
      </w:r>
      <w:r>
        <w:rPr>
          <w:bCs/>
        </w:rPr>
        <w:t xml:space="preserve"> through 2015.</w:t>
      </w:r>
    </w:p>
    <w:p w:rsidR="00900D9A" w:rsidRPr="002B4DA7" w:rsidRDefault="00AF3646" w:rsidP="004D7702">
      <w:pPr>
        <w:ind w:right="46"/>
        <w:jc w:val="both"/>
        <w:rPr>
          <w:bCs/>
        </w:rPr>
      </w:pPr>
      <w:r>
        <w:rPr>
          <w:bCs/>
        </w:rPr>
        <w:t xml:space="preserve">WHO will acquire technical assistance through Global Fund financing for an international M &amp; E officer but for this to be effective a national officer will provide support for strengthening programme management. In context of scaling up universal access to malaria control interventions, technical support will be provided to the NMCP to scale up Home </w:t>
      </w:r>
      <w:r>
        <w:rPr>
          <w:bCs/>
        </w:rPr>
        <w:lastRenderedPageBreak/>
        <w:t xml:space="preserve">based management of malaria (HMM) with emphasis on confirmatory diagnosis. </w:t>
      </w:r>
      <w:r w:rsidRPr="008B075C">
        <w:rPr>
          <w:bCs/>
        </w:rPr>
        <w:t>An impact survey to assess the effect of the 2010 mass LLINs campaign on malaria cases and death will be conducted.</w:t>
      </w:r>
    </w:p>
    <w:tbl>
      <w:tblPr>
        <w:tblpPr w:leftFromText="180" w:rightFromText="180" w:vertAnchor="text" w:horzAnchor="margin" w:tblpXSpec="center" w:tblpY="334"/>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8"/>
        <w:gridCol w:w="3240"/>
        <w:gridCol w:w="1530"/>
        <w:gridCol w:w="1980"/>
        <w:gridCol w:w="1530"/>
      </w:tblGrid>
      <w:tr w:rsidR="004D7702" w:rsidTr="004D7702">
        <w:trPr>
          <w:trHeight w:val="425"/>
        </w:trPr>
        <w:tc>
          <w:tcPr>
            <w:tcW w:w="648" w:type="dxa"/>
            <w:shd w:val="clear" w:color="auto" w:fill="DBE5F1" w:themeFill="accent1" w:themeFillTint="33"/>
          </w:tcPr>
          <w:p w:rsidR="00900D9A" w:rsidRPr="002B4DA7" w:rsidRDefault="00900D9A" w:rsidP="00900D9A">
            <w:pPr>
              <w:ind w:right="46"/>
              <w:rPr>
                <w:sz w:val="22"/>
                <w:szCs w:val="22"/>
              </w:rPr>
            </w:pPr>
            <w:r w:rsidRPr="002B4DA7">
              <w:rPr>
                <w:sz w:val="22"/>
                <w:szCs w:val="22"/>
              </w:rPr>
              <w:t xml:space="preserve">NO. </w:t>
            </w:r>
          </w:p>
        </w:tc>
        <w:tc>
          <w:tcPr>
            <w:tcW w:w="3240" w:type="dxa"/>
            <w:shd w:val="clear" w:color="auto" w:fill="DBE5F1" w:themeFill="accent1" w:themeFillTint="33"/>
          </w:tcPr>
          <w:p w:rsidR="00900D9A" w:rsidRPr="002B4DA7" w:rsidRDefault="00900D9A" w:rsidP="00900D9A">
            <w:pPr>
              <w:ind w:right="46"/>
              <w:rPr>
                <w:sz w:val="22"/>
                <w:szCs w:val="22"/>
              </w:rPr>
            </w:pPr>
            <w:r w:rsidRPr="002B4DA7">
              <w:rPr>
                <w:sz w:val="22"/>
                <w:szCs w:val="22"/>
              </w:rPr>
              <w:t xml:space="preserve">ACTIVITY </w:t>
            </w:r>
          </w:p>
        </w:tc>
        <w:tc>
          <w:tcPr>
            <w:tcW w:w="1530" w:type="dxa"/>
            <w:shd w:val="clear" w:color="auto" w:fill="DBE5F1" w:themeFill="accent1" w:themeFillTint="33"/>
          </w:tcPr>
          <w:p w:rsidR="00900D9A" w:rsidRPr="002B4DA7" w:rsidRDefault="00900D9A" w:rsidP="00900D9A">
            <w:pPr>
              <w:ind w:right="46"/>
              <w:rPr>
                <w:sz w:val="22"/>
                <w:szCs w:val="22"/>
              </w:rPr>
            </w:pPr>
            <w:r w:rsidRPr="002B4DA7">
              <w:rPr>
                <w:sz w:val="22"/>
                <w:szCs w:val="22"/>
              </w:rPr>
              <w:t>COVERAGE</w:t>
            </w:r>
          </w:p>
        </w:tc>
        <w:tc>
          <w:tcPr>
            <w:tcW w:w="1980" w:type="dxa"/>
            <w:shd w:val="clear" w:color="auto" w:fill="DBE5F1" w:themeFill="accent1" w:themeFillTint="33"/>
          </w:tcPr>
          <w:p w:rsidR="004D7702" w:rsidRDefault="00900D9A" w:rsidP="00900D9A">
            <w:pPr>
              <w:ind w:right="46"/>
              <w:jc w:val="both"/>
              <w:rPr>
                <w:sz w:val="22"/>
                <w:szCs w:val="22"/>
              </w:rPr>
            </w:pPr>
            <w:r w:rsidRPr="002B4DA7">
              <w:rPr>
                <w:sz w:val="22"/>
                <w:szCs w:val="22"/>
              </w:rPr>
              <w:t>RESPONSIBLE PERSON/</w:t>
            </w:r>
          </w:p>
          <w:p w:rsidR="00900D9A" w:rsidRPr="002B4DA7" w:rsidRDefault="00900D9A" w:rsidP="00900D9A">
            <w:pPr>
              <w:ind w:right="46"/>
              <w:jc w:val="both"/>
              <w:rPr>
                <w:sz w:val="22"/>
                <w:szCs w:val="22"/>
              </w:rPr>
            </w:pPr>
            <w:r w:rsidRPr="002B4DA7">
              <w:rPr>
                <w:sz w:val="22"/>
                <w:szCs w:val="22"/>
              </w:rPr>
              <w:t>ORGANIZATION</w:t>
            </w:r>
          </w:p>
        </w:tc>
        <w:tc>
          <w:tcPr>
            <w:tcW w:w="1530" w:type="dxa"/>
            <w:shd w:val="clear" w:color="auto" w:fill="DBE5F1" w:themeFill="accent1" w:themeFillTint="33"/>
          </w:tcPr>
          <w:p w:rsidR="00900D9A" w:rsidRPr="002B4DA7" w:rsidRDefault="00900D9A" w:rsidP="00900D9A">
            <w:pPr>
              <w:jc w:val="both"/>
              <w:rPr>
                <w:sz w:val="22"/>
                <w:szCs w:val="22"/>
              </w:rPr>
            </w:pPr>
            <w:r w:rsidRPr="002B4DA7">
              <w:rPr>
                <w:sz w:val="22"/>
                <w:szCs w:val="22"/>
              </w:rPr>
              <w:t>BUDGET</w:t>
            </w:r>
          </w:p>
          <w:p w:rsidR="00900D9A" w:rsidRPr="002B4DA7" w:rsidRDefault="00900D9A" w:rsidP="00900D9A">
            <w:pPr>
              <w:ind w:right="46"/>
              <w:jc w:val="both"/>
              <w:rPr>
                <w:sz w:val="22"/>
                <w:szCs w:val="22"/>
              </w:rPr>
            </w:pPr>
            <w:r w:rsidRPr="002B4DA7">
              <w:rPr>
                <w:sz w:val="22"/>
                <w:szCs w:val="22"/>
              </w:rPr>
              <w:t>In USD</w:t>
            </w:r>
          </w:p>
        </w:tc>
      </w:tr>
      <w:tr w:rsidR="004D7702" w:rsidTr="004D7702">
        <w:trPr>
          <w:trHeight w:val="545"/>
        </w:trPr>
        <w:tc>
          <w:tcPr>
            <w:tcW w:w="648" w:type="dxa"/>
          </w:tcPr>
          <w:p w:rsidR="00900D9A" w:rsidRPr="008C1AD9" w:rsidRDefault="00900D9A" w:rsidP="00900D9A">
            <w:pPr>
              <w:ind w:right="46"/>
              <w:rPr>
                <w:b/>
                <w:sz w:val="22"/>
                <w:szCs w:val="22"/>
              </w:rPr>
            </w:pPr>
            <w:r w:rsidRPr="008C1AD9">
              <w:rPr>
                <w:b/>
                <w:sz w:val="22"/>
                <w:szCs w:val="22"/>
              </w:rPr>
              <w:t>1</w:t>
            </w:r>
          </w:p>
        </w:tc>
        <w:tc>
          <w:tcPr>
            <w:tcW w:w="3240" w:type="dxa"/>
          </w:tcPr>
          <w:p w:rsidR="00900D9A" w:rsidRPr="002B4DA7" w:rsidRDefault="00900D9A" w:rsidP="00900D9A">
            <w:pPr>
              <w:ind w:right="46"/>
              <w:rPr>
                <w:sz w:val="22"/>
                <w:szCs w:val="22"/>
              </w:rPr>
            </w:pPr>
            <w:r>
              <w:rPr>
                <w:sz w:val="22"/>
                <w:szCs w:val="22"/>
              </w:rPr>
              <w:t>Procurement of supplies  (</w:t>
            </w:r>
            <w:r w:rsidRPr="002B4DA7">
              <w:rPr>
                <w:sz w:val="22"/>
                <w:szCs w:val="22"/>
              </w:rPr>
              <w:t>insecticide, spray pumps etc)</w:t>
            </w:r>
            <w:r>
              <w:rPr>
                <w:sz w:val="22"/>
                <w:szCs w:val="22"/>
              </w:rPr>
              <w:t xml:space="preserve"> to </w:t>
            </w:r>
            <w:r w:rsidRPr="002B4DA7">
              <w:rPr>
                <w:sz w:val="22"/>
                <w:szCs w:val="22"/>
              </w:rPr>
              <w:t xml:space="preserve">scale up IRS </w:t>
            </w:r>
          </w:p>
        </w:tc>
        <w:tc>
          <w:tcPr>
            <w:tcW w:w="1530" w:type="dxa"/>
          </w:tcPr>
          <w:p w:rsidR="00900D9A" w:rsidRPr="002B4DA7" w:rsidRDefault="00900D9A" w:rsidP="00900D9A">
            <w:pPr>
              <w:ind w:right="46"/>
              <w:rPr>
                <w:sz w:val="22"/>
                <w:szCs w:val="22"/>
              </w:rPr>
            </w:pPr>
            <w:r w:rsidRPr="002B4DA7">
              <w:rPr>
                <w:sz w:val="22"/>
                <w:szCs w:val="22"/>
              </w:rPr>
              <w:t>National</w:t>
            </w:r>
          </w:p>
        </w:tc>
        <w:tc>
          <w:tcPr>
            <w:tcW w:w="1980" w:type="dxa"/>
          </w:tcPr>
          <w:p w:rsidR="00900D9A" w:rsidRPr="00EB6BFA" w:rsidRDefault="00900D9A" w:rsidP="00900D9A">
            <w:pPr>
              <w:ind w:right="46"/>
              <w:jc w:val="both"/>
              <w:rPr>
                <w:sz w:val="22"/>
                <w:szCs w:val="22"/>
                <w:lang w:val="fr-FR"/>
              </w:rPr>
            </w:pPr>
            <w:r w:rsidRPr="00EB6BFA">
              <w:rPr>
                <w:sz w:val="22"/>
                <w:szCs w:val="22"/>
                <w:lang w:val="fr-FR"/>
              </w:rPr>
              <w:t xml:space="preserve">MOHS (National Malaria Control Programme) </w:t>
            </w:r>
          </w:p>
        </w:tc>
        <w:tc>
          <w:tcPr>
            <w:tcW w:w="1530" w:type="dxa"/>
          </w:tcPr>
          <w:p w:rsidR="00900D9A" w:rsidRPr="002B4DA7" w:rsidRDefault="00900D9A" w:rsidP="00900D9A">
            <w:pPr>
              <w:ind w:right="46"/>
              <w:jc w:val="both"/>
              <w:rPr>
                <w:sz w:val="22"/>
                <w:szCs w:val="22"/>
              </w:rPr>
            </w:pPr>
            <w:r>
              <w:rPr>
                <w:sz w:val="22"/>
                <w:szCs w:val="22"/>
              </w:rPr>
              <w:t>200,</w:t>
            </w:r>
            <w:r w:rsidRPr="002B4DA7">
              <w:rPr>
                <w:sz w:val="22"/>
                <w:szCs w:val="22"/>
              </w:rPr>
              <w:t>000</w:t>
            </w:r>
          </w:p>
        </w:tc>
      </w:tr>
      <w:tr w:rsidR="004D7702" w:rsidTr="004D7702">
        <w:trPr>
          <w:trHeight w:val="197"/>
        </w:trPr>
        <w:tc>
          <w:tcPr>
            <w:tcW w:w="648" w:type="dxa"/>
          </w:tcPr>
          <w:p w:rsidR="00900D9A" w:rsidRPr="008C1AD9" w:rsidRDefault="00900D9A" w:rsidP="00900D9A">
            <w:pPr>
              <w:rPr>
                <w:b/>
                <w:sz w:val="22"/>
                <w:szCs w:val="22"/>
              </w:rPr>
            </w:pPr>
            <w:r w:rsidRPr="008C1AD9">
              <w:rPr>
                <w:b/>
                <w:sz w:val="22"/>
                <w:szCs w:val="22"/>
              </w:rPr>
              <w:t>2</w:t>
            </w:r>
          </w:p>
        </w:tc>
        <w:tc>
          <w:tcPr>
            <w:tcW w:w="3240" w:type="dxa"/>
          </w:tcPr>
          <w:p w:rsidR="00900D9A" w:rsidRPr="002B4DA7" w:rsidRDefault="00900D9A" w:rsidP="00900D9A">
            <w:pPr>
              <w:rPr>
                <w:sz w:val="22"/>
                <w:szCs w:val="22"/>
              </w:rPr>
            </w:pPr>
            <w:r w:rsidRPr="002B4DA7">
              <w:rPr>
                <w:sz w:val="22"/>
                <w:szCs w:val="22"/>
              </w:rPr>
              <w:t>IRS operations</w:t>
            </w:r>
          </w:p>
        </w:tc>
        <w:tc>
          <w:tcPr>
            <w:tcW w:w="1530" w:type="dxa"/>
          </w:tcPr>
          <w:p w:rsidR="00900D9A" w:rsidRPr="002B4DA7" w:rsidRDefault="00900D9A" w:rsidP="00900D9A">
            <w:pPr>
              <w:ind w:right="46"/>
              <w:rPr>
                <w:sz w:val="22"/>
                <w:szCs w:val="22"/>
              </w:rPr>
            </w:pPr>
            <w:r w:rsidRPr="002B4DA7">
              <w:rPr>
                <w:sz w:val="22"/>
                <w:szCs w:val="22"/>
              </w:rPr>
              <w:t>Districts</w:t>
            </w:r>
          </w:p>
        </w:tc>
        <w:tc>
          <w:tcPr>
            <w:tcW w:w="1980" w:type="dxa"/>
          </w:tcPr>
          <w:p w:rsidR="00900D9A" w:rsidRPr="002B4DA7" w:rsidRDefault="00900D9A" w:rsidP="00900D9A">
            <w:pPr>
              <w:ind w:right="46"/>
              <w:jc w:val="both"/>
              <w:rPr>
                <w:sz w:val="22"/>
                <w:szCs w:val="22"/>
              </w:rPr>
            </w:pPr>
            <w:r>
              <w:rPr>
                <w:sz w:val="22"/>
                <w:szCs w:val="22"/>
              </w:rPr>
              <w:t>MOHS (NMCP)</w:t>
            </w:r>
          </w:p>
        </w:tc>
        <w:tc>
          <w:tcPr>
            <w:tcW w:w="1530" w:type="dxa"/>
          </w:tcPr>
          <w:p w:rsidR="00900D9A" w:rsidRPr="002B4DA7" w:rsidRDefault="00900D9A" w:rsidP="00900D9A">
            <w:pPr>
              <w:ind w:right="46"/>
              <w:jc w:val="both"/>
              <w:rPr>
                <w:sz w:val="22"/>
                <w:szCs w:val="22"/>
              </w:rPr>
            </w:pPr>
            <w:r>
              <w:rPr>
                <w:sz w:val="22"/>
                <w:szCs w:val="22"/>
              </w:rPr>
              <w:t>85,</w:t>
            </w:r>
            <w:r w:rsidRPr="002B4DA7">
              <w:rPr>
                <w:sz w:val="22"/>
                <w:szCs w:val="22"/>
              </w:rPr>
              <w:t>000</w:t>
            </w:r>
          </w:p>
        </w:tc>
      </w:tr>
      <w:tr w:rsidR="004D7702" w:rsidTr="004D7702">
        <w:trPr>
          <w:trHeight w:val="563"/>
        </w:trPr>
        <w:tc>
          <w:tcPr>
            <w:tcW w:w="648" w:type="dxa"/>
          </w:tcPr>
          <w:p w:rsidR="00900D9A" w:rsidRPr="008C1AD9" w:rsidRDefault="00900D9A" w:rsidP="00900D9A">
            <w:pPr>
              <w:rPr>
                <w:b/>
                <w:sz w:val="22"/>
                <w:szCs w:val="22"/>
              </w:rPr>
            </w:pPr>
            <w:r w:rsidRPr="008C1AD9">
              <w:rPr>
                <w:b/>
                <w:sz w:val="22"/>
                <w:szCs w:val="22"/>
              </w:rPr>
              <w:t>3</w:t>
            </w:r>
          </w:p>
        </w:tc>
        <w:tc>
          <w:tcPr>
            <w:tcW w:w="3240" w:type="dxa"/>
          </w:tcPr>
          <w:p w:rsidR="00900D9A" w:rsidRPr="002B4DA7" w:rsidRDefault="00900D9A" w:rsidP="00900D9A">
            <w:pPr>
              <w:rPr>
                <w:sz w:val="22"/>
                <w:szCs w:val="22"/>
              </w:rPr>
            </w:pPr>
            <w:r w:rsidRPr="002B4DA7">
              <w:rPr>
                <w:sz w:val="22"/>
                <w:szCs w:val="22"/>
              </w:rPr>
              <w:t>Monitoring and evaluation of IRS implementation and outcome</w:t>
            </w:r>
          </w:p>
        </w:tc>
        <w:tc>
          <w:tcPr>
            <w:tcW w:w="1530" w:type="dxa"/>
          </w:tcPr>
          <w:p w:rsidR="00900D9A" w:rsidRPr="002B4DA7" w:rsidRDefault="00900D9A" w:rsidP="00900D9A">
            <w:pPr>
              <w:ind w:right="46"/>
              <w:rPr>
                <w:sz w:val="22"/>
                <w:szCs w:val="22"/>
              </w:rPr>
            </w:pPr>
            <w:r w:rsidRPr="002B4DA7">
              <w:rPr>
                <w:sz w:val="22"/>
                <w:szCs w:val="22"/>
              </w:rPr>
              <w:t>Districts</w:t>
            </w:r>
          </w:p>
        </w:tc>
        <w:tc>
          <w:tcPr>
            <w:tcW w:w="1980" w:type="dxa"/>
          </w:tcPr>
          <w:p w:rsidR="00900D9A" w:rsidRPr="002B4DA7" w:rsidRDefault="00900D9A" w:rsidP="00900D9A">
            <w:pPr>
              <w:ind w:right="46"/>
              <w:jc w:val="both"/>
              <w:rPr>
                <w:sz w:val="22"/>
                <w:szCs w:val="22"/>
              </w:rPr>
            </w:pPr>
            <w:r>
              <w:rPr>
                <w:sz w:val="22"/>
                <w:szCs w:val="22"/>
              </w:rPr>
              <w:t>MOHS (NMCP)</w:t>
            </w:r>
          </w:p>
        </w:tc>
        <w:tc>
          <w:tcPr>
            <w:tcW w:w="1530" w:type="dxa"/>
          </w:tcPr>
          <w:p w:rsidR="00900D9A" w:rsidRPr="002B4DA7" w:rsidRDefault="00900D9A" w:rsidP="00900D9A">
            <w:pPr>
              <w:ind w:right="46"/>
              <w:jc w:val="both"/>
              <w:rPr>
                <w:sz w:val="22"/>
                <w:szCs w:val="22"/>
              </w:rPr>
            </w:pPr>
            <w:r>
              <w:rPr>
                <w:sz w:val="22"/>
                <w:szCs w:val="22"/>
              </w:rPr>
              <w:t>25,</w:t>
            </w:r>
            <w:r w:rsidRPr="002B4DA7">
              <w:rPr>
                <w:sz w:val="22"/>
                <w:szCs w:val="22"/>
              </w:rPr>
              <w:t>000</w:t>
            </w:r>
          </w:p>
        </w:tc>
      </w:tr>
      <w:tr w:rsidR="004D7702" w:rsidTr="004D7702">
        <w:trPr>
          <w:trHeight w:val="406"/>
        </w:trPr>
        <w:tc>
          <w:tcPr>
            <w:tcW w:w="648" w:type="dxa"/>
          </w:tcPr>
          <w:p w:rsidR="00900D9A" w:rsidRPr="008C1AD9" w:rsidRDefault="00900D9A" w:rsidP="00900D9A">
            <w:pPr>
              <w:rPr>
                <w:b/>
                <w:sz w:val="22"/>
                <w:szCs w:val="22"/>
              </w:rPr>
            </w:pPr>
            <w:r w:rsidRPr="008C1AD9">
              <w:rPr>
                <w:b/>
                <w:sz w:val="22"/>
                <w:szCs w:val="22"/>
              </w:rPr>
              <w:t>4</w:t>
            </w:r>
          </w:p>
        </w:tc>
        <w:tc>
          <w:tcPr>
            <w:tcW w:w="3240" w:type="dxa"/>
          </w:tcPr>
          <w:p w:rsidR="00900D9A" w:rsidRPr="002B4DA7" w:rsidRDefault="00900D9A" w:rsidP="00900D9A">
            <w:pPr>
              <w:rPr>
                <w:sz w:val="22"/>
                <w:szCs w:val="22"/>
              </w:rPr>
            </w:pPr>
            <w:r w:rsidRPr="002B4DA7">
              <w:rPr>
                <w:sz w:val="22"/>
                <w:szCs w:val="22"/>
              </w:rPr>
              <w:t>Recruitment of M&amp;E officer to support NMCP</w:t>
            </w:r>
          </w:p>
        </w:tc>
        <w:tc>
          <w:tcPr>
            <w:tcW w:w="1530" w:type="dxa"/>
          </w:tcPr>
          <w:p w:rsidR="00900D9A" w:rsidRPr="002B4DA7" w:rsidRDefault="00900D9A" w:rsidP="00900D9A">
            <w:pPr>
              <w:ind w:right="46"/>
              <w:rPr>
                <w:sz w:val="22"/>
                <w:szCs w:val="22"/>
              </w:rPr>
            </w:pPr>
            <w:r w:rsidRPr="002B4DA7">
              <w:rPr>
                <w:sz w:val="22"/>
                <w:szCs w:val="22"/>
              </w:rPr>
              <w:t>National</w:t>
            </w:r>
          </w:p>
        </w:tc>
        <w:tc>
          <w:tcPr>
            <w:tcW w:w="1980" w:type="dxa"/>
          </w:tcPr>
          <w:p w:rsidR="00900D9A" w:rsidRPr="002B4DA7" w:rsidRDefault="00900D9A" w:rsidP="00900D9A">
            <w:pPr>
              <w:ind w:right="46"/>
              <w:jc w:val="both"/>
              <w:rPr>
                <w:sz w:val="22"/>
                <w:szCs w:val="22"/>
              </w:rPr>
            </w:pPr>
            <w:r>
              <w:rPr>
                <w:sz w:val="22"/>
                <w:szCs w:val="22"/>
              </w:rPr>
              <w:t>MOHS (NMCP)</w:t>
            </w:r>
          </w:p>
        </w:tc>
        <w:tc>
          <w:tcPr>
            <w:tcW w:w="1530" w:type="dxa"/>
          </w:tcPr>
          <w:p w:rsidR="00900D9A" w:rsidRPr="002B4DA7" w:rsidRDefault="00900D9A" w:rsidP="00900D9A">
            <w:pPr>
              <w:ind w:right="46"/>
              <w:jc w:val="both"/>
              <w:rPr>
                <w:sz w:val="22"/>
                <w:szCs w:val="22"/>
              </w:rPr>
            </w:pPr>
            <w:r>
              <w:rPr>
                <w:sz w:val="22"/>
                <w:szCs w:val="22"/>
              </w:rPr>
              <w:t>265,</w:t>
            </w:r>
            <w:r w:rsidRPr="002B4DA7">
              <w:rPr>
                <w:sz w:val="22"/>
                <w:szCs w:val="22"/>
              </w:rPr>
              <w:t>000</w:t>
            </w:r>
          </w:p>
        </w:tc>
      </w:tr>
      <w:tr w:rsidR="004D7702" w:rsidTr="004D7702">
        <w:trPr>
          <w:trHeight w:val="406"/>
        </w:trPr>
        <w:tc>
          <w:tcPr>
            <w:tcW w:w="648" w:type="dxa"/>
          </w:tcPr>
          <w:p w:rsidR="00900D9A" w:rsidRPr="008C1AD9" w:rsidRDefault="00900D9A" w:rsidP="00900D9A">
            <w:pPr>
              <w:rPr>
                <w:b/>
                <w:sz w:val="22"/>
                <w:szCs w:val="22"/>
              </w:rPr>
            </w:pPr>
            <w:r w:rsidRPr="008C1AD9">
              <w:rPr>
                <w:b/>
                <w:sz w:val="22"/>
                <w:szCs w:val="22"/>
              </w:rPr>
              <w:t>5</w:t>
            </w:r>
          </w:p>
        </w:tc>
        <w:tc>
          <w:tcPr>
            <w:tcW w:w="3240" w:type="dxa"/>
          </w:tcPr>
          <w:p w:rsidR="00900D9A" w:rsidRPr="002B4DA7" w:rsidRDefault="00900D9A" w:rsidP="00900D9A">
            <w:pPr>
              <w:rPr>
                <w:sz w:val="22"/>
                <w:szCs w:val="22"/>
              </w:rPr>
            </w:pPr>
            <w:r w:rsidRPr="002B4DA7">
              <w:rPr>
                <w:sz w:val="22"/>
                <w:szCs w:val="22"/>
              </w:rPr>
              <w:t>Impact assessment of LLINs coverage</w:t>
            </w:r>
          </w:p>
        </w:tc>
        <w:tc>
          <w:tcPr>
            <w:tcW w:w="1530" w:type="dxa"/>
          </w:tcPr>
          <w:p w:rsidR="00900D9A" w:rsidRPr="002B4DA7" w:rsidRDefault="00900D9A" w:rsidP="00900D9A">
            <w:pPr>
              <w:ind w:right="46"/>
              <w:rPr>
                <w:sz w:val="22"/>
                <w:szCs w:val="22"/>
              </w:rPr>
            </w:pPr>
            <w:r w:rsidRPr="002B4DA7">
              <w:rPr>
                <w:sz w:val="22"/>
                <w:szCs w:val="22"/>
              </w:rPr>
              <w:t>National</w:t>
            </w:r>
          </w:p>
        </w:tc>
        <w:tc>
          <w:tcPr>
            <w:tcW w:w="1980" w:type="dxa"/>
          </w:tcPr>
          <w:p w:rsidR="00900D9A" w:rsidRPr="002B4DA7" w:rsidRDefault="00900D9A" w:rsidP="00900D9A">
            <w:pPr>
              <w:ind w:right="46"/>
              <w:jc w:val="both"/>
              <w:rPr>
                <w:sz w:val="22"/>
                <w:szCs w:val="22"/>
              </w:rPr>
            </w:pPr>
            <w:r>
              <w:rPr>
                <w:sz w:val="22"/>
                <w:szCs w:val="22"/>
              </w:rPr>
              <w:t>MOHS (NMCP)</w:t>
            </w:r>
          </w:p>
        </w:tc>
        <w:tc>
          <w:tcPr>
            <w:tcW w:w="1530" w:type="dxa"/>
          </w:tcPr>
          <w:p w:rsidR="00900D9A" w:rsidRPr="002B4DA7" w:rsidRDefault="00900D9A" w:rsidP="00900D9A">
            <w:pPr>
              <w:ind w:right="46"/>
              <w:jc w:val="both"/>
              <w:rPr>
                <w:sz w:val="22"/>
                <w:szCs w:val="22"/>
              </w:rPr>
            </w:pPr>
            <w:r>
              <w:rPr>
                <w:sz w:val="22"/>
                <w:szCs w:val="22"/>
              </w:rPr>
              <w:t>100,</w:t>
            </w:r>
            <w:r w:rsidRPr="002B4DA7">
              <w:rPr>
                <w:sz w:val="22"/>
                <w:szCs w:val="22"/>
              </w:rPr>
              <w:t>000</w:t>
            </w:r>
          </w:p>
        </w:tc>
      </w:tr>
      <w:tr w:rsidR="00900D9A" w:rsidTr="004D7702">
        <w:trPr>
          <w:trHeight w:val="303"/>
        </w:trPr>
        <w:tc>
          <w:tcPr>
            <w:tcW w:w="648" w:type="dxa"/>
            <w:shd w:val="clear" w:color="auto" w:fill="F2DBDB" w:themeFill="accent2" w:themeFillTint="33"/>
          </w:tcPr>
          <w:p w:rsidR="00900D9A" w:rsidRPr="008C1AD9" w:rsidRDefault="00900D9A" w:rsidP="00900D9A">
            <w:pPr>
              <w:rPr>
                <w:b/>
                <w:sz w:val="22"/>
                <w:szCs w:val="22"/>
              </w:rPr>
            </w:pPr>
            <w:r w:rsidRPr="008C1AD9">
              <w:rPr>
                <w:b/>
                <w:sz w:val="22"/>
                <w:szCs w:val="22"/>
              </w:rPr>
              <w:t>6</w:t>
            </w:r>
          </w:p>
        </w:tc>
        <w:tc>
          <w:tcPr>
            <w:tcW w:w="6750" w:type="dxa"/>
            <w:gridSpan w:val="3"/>
            <w:shd w:val="clear" w:color="auto" w:fill="F2DBDB" w:themeFill="accent2" w:themeFillTint="33"/>
          </w:tcPr>
          <w:p w:rsidR="00900D9A" w:rsidRPr="008C1AD9" w:rsidRDefault="00900D9A" w:rsidP="00900D9A">
            <w:pPr>
              <w:ind w:right="46"/>
              <w:jc w:val="both"/>
              <w:rPr>
                <w:b/>
              </w:rPr>
            </w:pPr>
            <w:r w:rsidRPr="008C1AD9">
              <w:rPr>
                <w:b/>
              </w:rPr>
              <w:t>GRAND TOTAL</w:t>
            </w:r>
          </w:p>
        </w:tc>
        <w:tc>
          <w:tcPr>
            <w:tcW w:w="1530" w:type="dxa"/>
            <w:shd w:val="clear" w:color="auto" w:fill="F2DBDB" w:themeFill="accent2" w:themeFillTint="33"/>
          </w:tcPr>
          <w:p w:rsidR="00900D9A" w:rsidRPr="008C1AD9" w:rsidRDefault="00900D9A" w:rsidP="00900D9A">
            <w:pPr>
              <w:ind w:right="46"/>
              <w:jc w:val="both"/>
              <w:rPr>
                <w:b/>
              </w:rPr>
            </w:pPr>
            <w:r w:rsidRPr="008C1AD9">
              <w:rPr>
                <w:b/>
              </w:rPr>
              <w:t>650,000</w:t>
            </w:r>
          </w:p>
        </w:tc>
      </w:tr>
    </w:tbl>
    <w:p w:rsidR="00900D9A" w:rsidRDefault="00900D9A" w:rsidP="00900D9A"/>
    <w:p w:rsidR="00900D9A" w:rsidRDefault="00900D9A" w:rsidP="00900D9A"/>
    <w:p w:rsidR="00900D9A" w:rsidRDefault="00900D9A" w:rsidP="00900D9A"/>
    <w:p w:rsidR="00900D9A" w:rsidRPr="00ED318B" w:rsidRDefault="004D7702" w:rsidP="000B017F">
      <w:pPr>
        <w:spacing w:after="120"/>
        <w:rPr>
          <w:u w:val="single"/>
        </w:rPr>
      </w:pPr>
      <w:r>
        <w:rPr>
          <w:u w:val="single"/>
        </w:rPr>
        <w:t>N</w:t>
      </w:r>
      <w:r w:rsidR="00ED318B" w:rsidRPr="00595606">
        <w:rPr>
          <w:u w:val="single"/>
        </w:rPr>
        <w:t>utritional Support to People living with HIV and TB – WFP</w:t>
      </w:r>
    </w:p>
    <w:p w:rsidR="00900D9A" w:rsidRPr="004813D0" w:rsidRDefault="00900D9A" w:rsidP="00900D9A">
      <w:pPr>
        <w:rPr>
          <w:rFonts w:cstheme="minorHAnsi"/>
          <w:bCs/>
        </w:rPr>
      </w:pPr>
      <w:r>
        <w:rPr>
          <w:rFonts w:cstheme="minorHAnsi"/>
        </w:rPr>
        <w:t xml:space="preserve">WFP is the lead agency for the provision of nutrition and food support to PLHIV under treatment, care and support. Thus, </w:t>
      </w:r>
      <w:r>
        <w:rPr>
          <w:rFonts w:cstheme="minorHAnsi"/>
          <w:bCs/>
        </w:rPr>
        <w:t>WFP’s will continue to provide nutritional support to PLHIV and TB patients, and mitigate the impact of the diseases on those households that are food-insecure.</w:t>
      </w:r>
    </w:p>
    <w:p w:rsidR="00900D9A" w:rsidRDefault="00900D9A" w:rsidP="00900D9A"/>
    <w:p w:rsidR="00AF3646" w:rsidRPr="00BB4626" w:rsidRDefault="00AF3646" w:rsidP="00900D9A"/>
    <w:tbl>
      <w:tblPr>
        <w:tblStyle w:val="TableGrid"/>
        <w:tblW w:w="9000" w:type="dxa"/>
        <w:tblInd w:w="108" w:type="dxa"/>
        <w:tblLayout w:type="fixed"/>
        <w:tblLook w:val="04A0"/>
      </w:tblPr>
      <w:tblGrid>
        <w:gridCol w:w="720"/>
        <w:gridCol w:w="3240"/>
        <w:gridCol w:w="1530"/>
        <w:gridCol w:w="1980"/>
        <w:gridCol w:w="1530"/>
      </w:tblGrid>
      <w:tr w:rsidR="00900D9A" w:rsidRPr="00896B1B" w:rsidTr="00931A5E">
        <w:trPr>
          <w:trHeight w:val="248"/>
        </w:trPr>
        <w:tc>
          <w:tcPr>
            <w:tcW w:w="720" w:type="dxa"/>
            <w:shd w:val="clear" w:color="auto" w:fill="C6D9F1" w:themeFill="text2" w:themeFillTint="33"/>
          </w:tcPr>
          <w:p w:rsidR="00900D9A" w:rsidRPr="004813D0" w:rsidRDefault="00900D9A" w:rsidP="00900D9A">
            <w:pPr>
              <w:jc w:val="both"/>
              <w:rPr>
                <w:b/>
                <w:sz w:val="22"/>
                <w:szCs w:val="22"/>
              </w:rPr>
            </w:pPr>
            <w:r w:rsidRPr="004813D0">
              <w:rPr>
                <w:b/>
                <w:sz w:val="22"/>
                <w:szCs w:val="22"/>
              </w:rPr>
              <w:t>NO</w:t>
            </w:r>
          </w:p>
        </w:tc>
        <w:tc>
          <w:tcPr>
            <w:tcW w:w="3240" w:type="dxa"/>
            <w:shd w:val="clear" w:color="auto" w:fill="C6D9F1" w:themeFill="text2" w:themeFillTint="33"/>
          </w:tcPr>
          <w:p w:rsidR="00900D9A" w:rsidRPr="004813D0" w:rsidRDefault="00900D9A" w:rsidP="00900D9A">
            <w:pPr>
              <w:jc w:val="both"/>
              <w:rPr>
                <w:sz w:val="22"/>
                <w:szCs w:val="22"/>
              </w:rPr>
            </w:pPr>
            <w:r w:rsidRPr="004813D0">
              <w:rPr>
                <w:sz w:val="22"/>
                <w:szCs w:val="22"/>
              </w:rPr>
              <w:t>ACTIVITY</w:t>
            </w:r>
          </w:p>
        </w:tc>
        <w:tc>
          <w:tcPr>
            <w:tcW w:w="1530" w:type="dxa"/>
            <w:shd w:val="clear" w:color="auto" w:fill="C6D9F1" w:themeFill="text2" w:themeFillTint="33"/>
          </w:tcPr>
          <w:p w:rsidR="00900D9A" w:rsidRPr="004813D0" w:rsidRDefault="00900D9A" w:rsidP="00900D9A">
            <w:pPr>
              <w:jc w:val="both"/>
              <w:rPr>
                <w:sz w:val="22"/>
                <w:szCs w:val="22"/>
              </w:rPr>
            </w:pPr>
            <w:r w:rsidRPr="004813D0">
              <w:rPr>
                <w:sz w:val="22"/>
                <w:szCs w:val="22"/>
              </w:rPr>
              <w:t>TIME FRAME</w:t>
            </w:r>
          </w:p>
        </w:tc>
        <w:tc>
          <w:tcPr>
            <w:tcW w:w="1980" w:type="dxa"/>
            <w:shd w:val="clear" w:color="auto" w:fill="C6D9F1" w:themeFill="text2" w:themeFillTint="33"/>
          </w:tcPr>
          <w:p w:rsidR="004D7702" w:rsidRDefault="00900D9A" w:rsidP="00900D9A">
            <w:pPr>
              <w:jc w:val="both"/>
              <w:rPr>
                <w:sz w:val="22"/>
                <w:szCs w:val="22"/>
              </w:rPr>
            </w:pPr>
            <w:r w:rsidRPr="004813D0">
              <w:rPr>
                <w:sz w:val="22"/>
                <w:szCs w:val="22"/>
              </w:rPr>
              <w:t>RESPONSIBLE PERSON/</w:t>
            </w:r>
          </w:p>
          <w:p w:rsidR="00900D9A" w:rsidRPr="004813D0" w:rsidRDefault="00900D9A" w:rsidP="00900D9A">
            <w:pPr>
              <w:jc w:val="both"/>
              <w:rPr>
                <w:sz w:val="22"/>
                <w:szCs w:val="22"/>
              </w:rPr>
            </w:pPr>
            <w:r w:rsidRPr="004813D0">
              <w:rPr>
                <w:sz w:val="22"/>
                <w:szCs w:val="22"/>
              </w:rPr>
              <w:t>ORGANIZATION</w:t>
            </w:r>
          </w:p>
        </w:tc>
        <w:tc>
          <w:tcPr>
            <w:tcW w:w="1530" w:type="dxa"/>
            <w:shd w:val="clear" w:color="auto" w:fill="C6D9F1" w:themeFill="text2" w:themeFillTint="33"/>
          </w:tcPr>
          <w:p w:rsidR="00900D9A" w:rsidRPr="004813D0" w:rsidRDefault="00900D9A" w:rsidP="00900D9A">
            <w:pPr>
              <w:jc w:val="both"/>
              <w:rPr>
                <w:sz w:val="22"/>
                <w:szCs w:val="22"/>
              </w:rPr>
            </w:pPr>
            <w:r w:rsidRPr="004813D0">
              <w:rPr>
                <w:sz w:val="22"/>
                <w:szCs w:val="22"/>
              </w:rPr>
              <w:t>BUDGET</w:t>
            </w:r>
          </w:p>
          <w:p w:rsidR="00900D9A" w:rsidRPr="004813D0" w:rsidRDefault="00900D9A" w:rsidP="00900D9A">
            <w:pPr>
              <w:jc w:val="both"/>
              <w:rPr>
                <w:sz w:val="22"/>
                <w:szCs w:val="22"/>
              </w:rPr>
            </w:pPr>
            <w:r w:rsidRPr="004813D0">
              <w:rPr>
                <w:sz w:val="22"/>
                <w:szCs w:val="22"/>
              </w:rPr>
              <w:t>In USD</w:t>
            </w:r>
          </w:p>
        </w:tc>
      </w:tr>
      <w:tr w:rsidR="00900D9A" w:rsidRPr="003E5BC7" w:rsidTr="00931A5E">
        <w:trPr>
          <w:trHeight w:val="488"/>
        </w:trPr>
        <w:tc>
          <w:tcPr>
            <w:tcW w:w="720" w:type="dxa"/>
          </w:tcPr>
          <w:p w:rsidR="00900D9A" w:rsidRPr="004813D0" w:rsidRDefault="00900D9A" w:rsidP="00900D9A">
            <w:pPr>
              <w:jc w:val="both"/>
              <w:rPr>
                <w:b/>
                <w:sz w:val="22"/>
                <w:szCs w:val="22"/>
              </w:rPr>
            </w:pPr>
            <w:r w:rsidRPr="004813D0">
              <w:rPr>
                <w:b/>
                <w:sz w:val="22"/>
                <w:szCs w:val="22"/>
              </w:rPr>
              <w:t>1</w:t>
            </w:r>
          </w:p>
        </w:tc>
        <w:tc>
          <w:tcPr>
            <w:tcW w:w="3240" w:type="dxa"/>
          </w:tcPr>
          <w:p w:rsidR="00900D9A" w:rsidRPr="004813D0" w:rsidRDefault="00900D9A" w:rsidP="00900D9A">
            <w:pPr>
              <w:autoSpaceDE w:val="0"/>
              <w:autoSpaceDN w:val="0"/>
              <w:adjustRightInd w:val="0"/>
              <w:rPr>
                <w:bCs/>
                <w:sz w:val="22"/>
                <w:szCs w:val="22"/>
              </w:rPr>
            </w:pPr>
            <w:r w:rsidRPr="004813D0">
              <w:rPr>
                <w:sz w:val="22"/>
                <w:szCs w:val="22"/>
              </w:rPr>
              <w:t>Conduct Nationwide assessment on Nutritional status and Socio- economic profiling of PLHIV</w:t>
            </w:r>
          </w:p>
          <w:p w:rsidR="00900D9A" w:rsidRPr="004813D0" w:rsidRDefault="00900D9A" w:rsidP="00900D9A">
            <w:pPr>
              <w:jc w:val="both"/>
              <w:rPr>
                <w:sz w:val="22"/>
                <w:szCs w:val="22"/>
              </w:rPr>
            </w:pPr>
          </w:p>
        </w:tc>
        <w:tc>
          <w:tcPr>
            <w:tcW w:w="1530" w:type="dxa"/>
          </w:tcPr>
          <w:p w:rsidR="00900D9A" w:rsidRPr="004813D0" w:rsidRDefault="00900D9A" w:rsidP="00900D9A">
            <w:pPr>
              <w:jc w:val="both"/>
              <w:rPr>
                <w:sz w:val="22"/>
                <w:szCs w:val="22"/>
              </w:rPr>
            </w:pPr>
            <w:r w:rsidRPr="004813D0">
              <w:rPr>
                <w:sz w:val="22"/>
                <w:szCs w:val="22"/>
              </w:rPr>
              <w:t>May</w:t>
            </w:r>
          </w:p>
        </w:tc>
        <w:tc>
          <w:tcPr>
            <w:tcW w:w="1980" w:type="dxa"/>
          </w:tcPr>
          <w:p w:rsidR="00900D9A" w:rsidRPr="004813D0" w:rsidRDefault="00900D9A" w:rsidP="00900D9A">
            <w:pPr>
              <w:jc w:val="both"/>
              <w:rPr>
                <w:sz w:val="22"/>
                <w:szCs w:val="22"/>
              </w:rPr>
            </w:pPr>
            <w:r w:rsidRPr="004813D0">
              <w:rPr>
                <w:sz w:val="22"/>
                <w:szCs w:val="22"/>
              </w:rPr>
              <w:t>WFP</w:t>
            </w:r>
          </w:p>
        </w:tc>
        <w:tc>
          <w:tcPr>
            <w:tcW w:w="1530" w:type="dxa"/>
          </w:tcPr>
          <w:p w:rsidR="00900D9A" w:rsidRPr="004813D0" w:rsidRDefault="00900D9A" w:rsidP="00900D9A">
            <w:pPr>
              <w:jc w:val="both"/>
              <w:rPr>
                <w:sz w:val="22"/>
                <w:szCs w:val="22"/>
              </w:rPr>
            </w:pPr>
            <w:r w:rsidRPr="004813D0">
              <w:rPr>
                <w:sz w:val="22"/>
                <w:szCs w:val="22"/>
              </w:rPr>
              <w:t>75,345</w:t>
            </w:r>
          </w:p>
        </w:tc>
      </w:tr>
      <w:tr w:rsidR="00900D9A" w:rsidRPr="003E5BC7" w:rsidTr="00931A5E">
        <w:trPr>
          <w:trHeight w:val="364"/>
        </w:trPr>
        <w:tc>
          <w:tcPr>
            <w:tcW w:w="720" w:type="dxa"/>
          </w:tcPr>
          <w:p w:rsidR="00900D9A" w:rsidRPr="004813D0" w:rsidRDefault="00900D9A" w:rsidP="00900D9A">
            <w:pPr>
              <w:jc w:val="both"/>
              <w:rPr>
                <w:b/>
                <w:sz w:val="22"/>
                <w:szCs w:val="22"/>
              </w:rPr>
            </w:pPr>
            <w:r w:rsidRPr="004813D0">
              <w:rPr>
                <w:b/>
                <w:sz w:val="22"/>
                <w:szCs w:val="22"/>
              </w:rPr>
              <w:t>2</w:t>
            </w:r>
          </w:p>
        </w:tc>
        <w:tc>
          <w:tcPr>
            <w:tcW w:w="3240" w:type="dxa"/>
          </w:tcPr>
          <w:p w:rsidR="00900D9A" w:rsidRPr="004813D0" w:rsidRDefault="00900D9A" w:rsidP="00900D9A">
            <w:pPr>
              <w:rPr>
                <w:sz w:val="22"/>
                <w:szCs w:val="22"/>
              </w:rPr>
            </w:pPr>
            <w:r w:rsidRPr="004813D0">
              <w:rPr>
                <w:sz w:val="22"/>
                <w:szCs w:val="22"/>
              </w:rPr>
              <w:t xml:space="preserve">Continue baseline assessment and  nutritional support to PLHIV and TB patients in two districts( Western Area and Port Loko) </w:t>
            </w:r>
          </w:p>
        </w:tc>
        <w:tc>
          <w:tcPr>
            <w:tcW w:w="1530" w:type="dxa"/>
          </w:tcPr>
          <w:p w:rsidR="00900D9A" w:rsidRPr="004813D0" w:rsidRDefault="00900D9A" w:rsidP="00900D9A">
            <w:pPr>
              <w:jc w:val="both"/>
              <w:rPr>
                <w:sz w:val="22"/>
                <w:szCs w:val="22"/>
              </w:rPr>
            </w:pPr>
            <w:r w:rsidRPr="004813D0">
              <w:rPr>
                <w:sz w:val="22"/>
                <w:szCs w:val="22"/>
              </w:rPr>
              <w:t>Continuous process</w:t>
            </w:r>
          </w:p>
        </w:tc>
        <w:tc>
          <w:tcPr>
            <w:tcW w:w="1980" w:type="dxa"/>
          </w:tcPr>
          <w:p w:rsidR="00900D9A" w:rsidRPr="004813D0" w:rsidRDefault="00900D9A" w:rsidP="00900D9A">
            <w:pPr>
              <w:jc w:val="both"/>
              <w:rPr>
                <w:sz w:val="22"/>
                <w:szCs w:val="22"/>
              </w:rPr>
            </w:pPr>
            <w:r w:rsidRPr="004813D0">
              <w:rPr>
                <w:sz w:val="22"/>
                <w:szCs w:val="22"/>
              </w:rPr>
              <w:t>Care and support Groups, NACP,</w:t>
            </w:r>
            <w:r>
              <w:rPr>
                <w:sz w:val="22"/>
                <w:szCs w:val="22"/>
              </w:rPr>
              <w:t xml:space="preserve"> </w:t>
            </w:r>
            <w:r w:rsidRPr="004813D0">
              <w:rPr>
                <w:sz w:val="22"/>
                <w:szCs w:val="22"/>
              </w:rPr>
              <w:t>AFRICARE and WFP</w:t>
            </w:r>
          </w:p>
        </w:tc>
        <w:tc>
          <w:tcPr>
            <w:tcW w:w="1530" w:type="dxa"/>
          </w:tcPr>
          <w:p w:rsidR="00900D9A" w:rsidRPr="004813D0" w:rsidRDefault="00900D9A" w:rsidP="00900D9A">
            <w:pPr>
              <w:jc w:val="both"/>
              <w:rPr>
                <w:sz w:val="22"/>
                <w:szCs w:val="22"/>
              </w:rPr>
            </w:pPr>
            <w:r w:rsidRPr="004813D0">
              <w:rPr>
                <w:sz w:val="22"/>
                <w:szCs w:val="22"/>
              </w:rPr>
              <w:t>879,000</w:t>
            </w:r>
          </w:p>
        </w:tc>
      </w:tr>
      <w:tr w:rsidR="00900D9A" w:rsidRPr="003E5BC7" w:rsidTr="00931A5E">
        <w:trPr>
          <w:trHeight w:val="1340"/>
        </w:trPr>
        <w:tc>
          <w:tcPr>
            <w:tcW w:w="720" w:type="dxa"/>
          </w:tcPr>
          <w:p w:rsidR="00900D9A" w:rsidRPr="004813D0" w:rsidRDefault="00900D9A" w:rsidP="00900D9A">
            <w:pPr>
              <w:jc w:val="both"/>
              <w:rPr>
                <w:b/>
                <w:sz w:val="22"/>
                <w:szCs w:val="22"/>
              </w:rPr>
            </w:pPr>
            <w:r w:rsidRPr="004813D0">
              <w:rPr>
                <w:b/>
                <w:sz w:val="22"/>
                <w:szCs w:val="22"/>
              </w:rPr>
              <w:t>3</w:t>
            </w:r>
          </w:p>
        </w:tc>
        <w:tc>
          <w:tcPr>
            <w:tcW w:w="3240" w:type="dxa"/>
          </w:tcPr>
          <w:p w:rsidR="00900D9A" w:rsidRPr="004813D0" w:rsidRDefault="00900D9A" w:rsidP="00900D9A">
            <w:pPr>
              <w:rPr>
                <w:sz w:val="22"/>
                <w:szCs w:val="22"/>
              </w:rPr>
            </w:pPr>
            <w:r w:rsidRPr="004813D0">
              <w:rPr>
                <w:sz w:val="22"/>
                <w:szCs w:val="22"/>
              </w:rPr>
              <w:t xml:space="preserve">Distribution of non food items(Weighing Scales; Harmonized Registers; Adult Height Boards; Measuring tapes; Abridge version nutritional guidelines; Beneficiary Ration cards/ration entitlement cards) </w:t>
            </w:r>
          </w:p>
        </w:tc>
        <w:tc>
          <w:tcPr>
            <w:tcW w:w="1530" w:type="dxa"/>
          </w:tcPr>
          <w:p w:rsidR="00900D9A" w:rsidRPr="004813D0" w:rsidRDefault="00900D9A" w:rsidP="00900D9A">
            <w:pPr>
              <w:jc w:val="both"/>
              <w:rPr>
                <w:sz w:val="22"/>
                <w:szCs w:val="22"/>
              </w:rPr>
            </w:pPr>
            <w:r w:rsidRPr="004813D0">
              <w:rPr>
                <w:sz w:val="22"/>
                <w:szCs w:val="22"/>
              </w:rPr>
              <w:t>April</w:t>
            </w:r>
          </w:p>
        </w:tc>
        <w:tc>
          <w:tcPr>
            <w:tcW w:w="1980" w:type="dxa"/>
          </w:tcPr>
          <w:p w:rsidR="00900D9A" w:rsidRPr="004813D0" w:rsidRDefault="00900D9A" w:rsidP="00900D9A">
            <w:pPr>
              <w:jc w:val="both"/>
              <w:rPr>
                <w:sz w:val="22"/>
                <w:szCs w:val="22"/>
              </w:rPr>
            </w:pPr>
            <w:r w:rsidRPr="004813D0">
              <w:rPr>
                <w:sz w:val="22"/>
                <w:szCs w:val="22"/>
              </w:rPr>
              <w:t>WFP/Partners/</w:t>
            </w:r>
          </w:p>
        </w:tc>
        <w:tc>
          <w:tcPr>
            <w:tcW w:w="1530" w:type="dxa"/>
          </w:tcPr>
          <w:p w:rsidR="00900D9A" w:rsidRPr="004813D0" w:rsidRDefault="00900D9A" w:rsidP="00900D9A">
            <w:pPr>
              <w:jc w:val="both"/>
              <w:rPr>
                <w:sz w:val="22"/>
                <w:szCs w:val="22"/>
              </w:rPr>
            </w:pPr>
            <w:r w:rsidRPr="004813D0">
              <w:rPr>
                <w:sz w:val="22"/>
                <w:szCs w:val="22"/>
              </w:rPr>
              <w:t>50,000</w:t>
            </w:r>
          </w:p>
        </w:tc>
      </w:tr>
      <w:tr w:rsidR="00900D9A" w:rsidRPr="003E5BC7" w:rsidTr="00931A5E">
        <w:trPr>
          <w:trHeight w:val="488"/>
        </w:trPr>
        <w:tc>
          <w:tcPr>
            <w:tcW w:w="720" w:type="dxa"/>
          </w:tcPr>
          <w:p w:rsidR="00900D9A" w:rsidRPr="004813D0" w:rsidRDefault="00900D9A" w:rsidP="00900D9A">
            <w:pPr>
              <w:jc w:val="both"/>
              <w:rPr>
                <w:b/>
                <w:sz w:val="22"/>
                <w:szCs w:val="22"/>
              </w:rPr>
            </w:pPr>
            <w:r w:rsidRPr="004813D0">
              <w:rPr>
                <w:b/>
                <w:sz w:val="22"/>
                <w:szCs w:val="22"/>
              </w:rPr>
              <w:t>4</w:t>
            </w:r>
          </w:p>
        </w:tc>
        <w:tc>
          <w:tcPr>
            <w:tcW w:w="3240" w:type="dxa"/>
          </w:tcPr>
          <w:p w:rsidR="00900D9A" w:rsidRPr="004813D0" w:rsidRDefault="00900D9A" w:rsidP="00900D9A">
            <w:pPr>
              <w:rPr>
                <w:sz w:val="22"/>
                <w:szCs w:val="22"/>
              </w:rPr>
            </w:pPr>
            <w:r w:rsidRPr="004813D0">
              <w:rPr>
                <w:sz w:val="22"/>
                <w:szCs w:val="22"/>
              </w:rPr>
              <w:t xml:space="preserve">Design National HIV/TB database information system for HIV nutrition reporting </w:t>
            </w:r>
          </w:p>
          <w:p w:rsidR="00900D9A" w:rsidRPr="004813D0" w:rsidRDefault="00900D9A" w:rsidP="00900D9A">
            <w:pPr>
              <w:jc w:val="both"/>
              <w:rPr>
                <w:sz w:val="22"/>
                <w:szCs w:val="22"/>
              </w:rPr>
            </w:pPr>
          </w:p>
        </w:tc>
        <w:tc>
          <w:tcPr>
            <w:tcW w:w="1530" w:type="dxa"/>
          </w:tcPr>
          <w:p w:rsidR="00900D9A" w:rsidRPr="004813D0" w:rsidRDefault="00900D9A" w:rsidP="00900D9A">
            <w:pPr>
              <w:jc w:val="both"/>
              <w:rPr>
                <w:sz w:val="22"/>
                <w:szCs w:val="22"/>
              </w:rPr>
            </w:pPr>
            <w:r w:rsidRPr="004813D0">
              <w:rPr>
                <w:sz w:val="22"/>
                <w:szCs w:val="22"/>
              </w:rPr>
              <w:t>March</w:t>
            </w:r>
          </w:p>
        </w:tc>
        <w:tc>
          <w:tcPr>
            <w:tcW w:w="1980" w:type="dxa"/>
          </w:tcPr>
          <w:p w:rsidR="00900D9A" w:rsidRPr="004813D0" w:rsidRDefault="00900D9A" w:rsidP="00900D9A">
            <w:pPr>
              <w:jc w:val="both"/>
              <w:rPr>
                <w:sz w:val="22"/>
                <w:szCs w:val="22"/>
              </w:rPr>
            </w:pPr>
            <w:r w:rsidRPr="004813D0">
              <w:rPr>
                <w:sz w:val="22"/>
                <w:szCs w:val="22"/>
              </w:rPr>
              <w:t>WFP</w:t>
            </w:r>
          </w:p>
        </w:tc>
        <w:tc>
          <w:tcPr>
            <w:tcW w:w="1530" w:type="dxa"/>
          </w:tcPr>
          <w:p w:rsidR="00900D9A" w:rsidRPr="004813D0" w:rsidRDefault="00900D9A" w:rsidP="00900D9A">
            <w:pPr>
              <w:jc w:val="both"/>
              <w:rPr>
                <w:sz w:val="22"/>
                <w:szCs w:val="22"/>
              </w:rPr>
            </w:pPr>
            <w:r w:rsidRPr="004813D0">
              <w:rPr>
                <w:sz w:val="22"/>
                <w:szCs w:val="22"/>
              </w:rPr>
              <w:t>2,500</w:t>
            </w:r>
          </w:p>
        </w:tc>
      </w:tr>
      <w:tr w:rsidR="00900D9A" w:rsidRPr="003E5BC7" w:rsidTr="00931A5E">
        <w:trPr>
          <w:trHeight w:val="510"/>
        </w:trPr>
        <w:tc>
          <w:tcPr>
            <w:tcW w:w="720" w:type="dxa"/>
          </w:tcPr>
          <w:p w:rsidR="00900D9A" w:rsidRPr="004813D0" w:rsidRDefault="00900D9A" w:rsidP="00900D9A">
            <w:pPr>
              <w:jc w:val="both"/>
              <w:rPr>
                <w:b/>
                <w:sz w:val="22"/>
                <w:szCs w:val="22"/>
              </w:rPr>
            </w:pPr>
            <w:r w:rsidRPr="004813D0">
              <w:rPr>
                <w:b/>
                <w:sz w:val="22"/>
                <w:szCs w:val="22"/>
              </w:rPr>
              <w:t>5</w:t>
            </w:r>
          </w:p>
        </w:tc>
        <w:tc>
          <w:tcPr>
            <w:tcW w:w="3240" w:type="dxa"/>
          </w:tcPr>
          <w:p w:rsidR="00900D9A" w:rsidRPr="004813D0" w:rsidRDefault="00900D9A" w:rsidP="00900D9A">
            <w:pPr>
              <w:rPr>
                <w:sz w:val="22"/>
                <w:szCs w:val="22"/>
              </w:rPr>
            </w:pPr>
            <w:r w:rsidRPr="004813D0">
              <w:rPr>
                <w:sz w:val="22"/>
                <w:szCs w:val="22"/>
              </w:rPr>
              <w:t>Identify and establish partnership with partners  for  livelihood provision and support</w:t>
            </w:r>
          </w:p>
          <w:p w:rsidR="00900D9A" w:rsidRPr="004813D0" w:rsidRDefault="00900D9A" w:rsidP="00900D9A">
            <w:pPr>
              <w:rPr>
                <w:sz w:val="22"/>
                <w:szCs w:val="22"/>
              </w:rPr>
            </w:pPr>
          </w:p>
        </w:tc>
        <w:tc>
          <w:tcPr>
            <w:tcW w:w="1530" w:type="dxa"/>
          </w:tcPr>
          <w:p w:rsidR="00900D9A" w:rsidRPr="004813D0" w:rsidRDefault="00900D9A" w:rsidP="00900D9A">
            <w:pPr>
              <w:jc w:val="both"/>
              <w:rPr>
                <w:sz w:val="22"/>
                <w:szCs w:val="22"/>
              </w:rPr>
            </w:pPr>
          </w:p>
        </w:tc>
        <w:tc>
          <w:tcPr>
            <w:tcW w:w="1980" w:type="dxa"/>
          </w:tcPr>
          <w:p w:rsidR="00900D9A" w:rsidRPr="004813D0" w:rsidRDefault="00900D9A" w:rsidP="00900D9A">
            <w:pPr>
              <w:jc w:val="both"/>
              <w:rPr>
                <w:sz w:val="22"/>
                <w:szCs w:val="22"/>
              </w:rPr>
            </w:pPr>
            <w:r w:rsidRPr="004813D0">
              <w:rPr>
                <w:sz w:val="22"/>
                <w:szCs w:val="22"/>
              </w:rPr>
              <w:t>Government, UN-agencies, NGOs/CBOs</w:t>
            </w:r>
          </w:p>
        </w:tc>
        <w:tc>
          <w:tcPr>
            <w:tcW w:w="1530" w:type="dxa"/>
          </w:tcPr>
          <w:p w:rsidR="00900D9A" w:rsidRPr="004813D0" w:rsidRDefault="00900D9A" w:rsidP="00900D9A">
            <w:pPr>
              <w:jc w:val="both"/>
              <w:rPr>
                <w:sz w:val="22"/>
                <w:szCs w:val="22"/>
              </w:rPr>
            </w:pPr>
            <w:r w:rsidRPr="004813D0">
              <w:rPr>
                <w:sz w:val="22"/>
                <w:szCs w:val="22"/>
              </w:rPr>
              <w:t>43,000</w:t>
            </w:r>
          </w:p>
        </w:tc>
      </w:tr>
      <w:tr w:rsidR="00900D9A" w:rsidRPr="003E5BC7" w:rsidTr="00931A5E">
        <w:trPr>
          <w:trHeight w:val="124"/>
        </w:trPr>
        <w:tc>
          <w:tcPr>
            <w:tcW w:w="3960" w:type="dxa"/>
            <w:gridSpan w:val="2"/>
            <w:shd w:val="clear" w:color="auto" w:fill="F2DBDB" w:themeFill="accent2" w:themeFillTint="33"/>
          </w:tcPr>
          <w:p w:rsidR="00900D9A" w:rsidRPr="00713171" w:rsidRDefault="00900D9A" w:rsidP="00900D9A">
            <w:pPr>
              <w:rPr>
                <w:b/>
              </w:rPr>
            </w:pPr>
            <w:r w:rsidRPr="00713171">
              <w:rPr>
                <w:b/>
              </w:rPr>
              <w:lastRenderedPageBreak/>
              <w:t xml:space="preserve">Grand Total </w:t>
            </w:r>
          </w:p>
        </w:tc>
        <w:tc>
          <w:tcPr>
            <w:tcW w:w="1530" w:type="dxa"/>
            <w:shd w:val="clear" w:color="auto" w:fill="F2DBDB" w:themeFill="accent2" w:themeFillTint="33"/>
          </w:tcPr>
          <w:p w:rsidR="00900D9A" w:rsidRPr="00713171" w:rsidRDefault="00900D9A" w:rsidP="00900D9A">
            <w:pPr>
              <w:jc w:val="both"/>
              <w:rPr>
                <w:b/>
              </w:rPr>
            </w:pPr>
          </w:p>
        </w:tc>
        <w:tc>
          <w:tcPr>
            <w:tcW w:w="1980" w:type="dxa"/>
            <w:shd w:val="clear" w:color="auto" w:fill="F2DBDB" w:themeFill="accent2" w:themeFillTint="33"/>
          </w:tcPr>
          <w:p w:rsidR="00900D9A" w:rsidRPr="00713171" w:rsidRDefault="00900D9A" w:rsidP="00900D9A">
            <w:pPr>
              <w:jc w:val="both"/>
              <w:rPr>
                <w:b/>
              </w:rPr>
            </w:pPr>
          </w:p>
        </w:tc>
        <w:tc>
          <w:tcPr>
            <w:tcW w:w="1530" w:type="dxa"/>
            <w:shd w:val="clear" w:color="auto" w:fill="F2DBDB" w:themeFill="accent2" w:themeFillTint="33"/>
          </w:tcPr>
          <w:p w:rsidR="00900D9A" w:rsidRPr="00713171" w:rsidRDefault="00900D9A" w:rsidP="00900D9A">
            <w:pPr>
              <w:jc w:val="both"/>
              <w:rPr>
                <w:b/>
              </w:rPr>
            </w:pPr>
            <w:r w:rsidRPr="00713171">
              <w:rPr>
                <w:b/>
              </w:rPr>
              <w:t>$ 1,049,845</w:t>
            </w:r>
          </w:p>
        </w:tc>
      </w:tr>
    </w:tbl>
    <w:p w:rsidR="004841C9" w:rsidRDefault="004841C9" w:rsidP="00F96466">
      <w:pPr>
        <w:jc w:val="both"/>
      </w:pPr>
    </w:p>
    <w:p w:rsidR="00814E67" w:rsidRDefault="00814E67" w:rsidP="00F96466">
      <w:pPr>
        <w:jc w:val="both"/>
      </w:pPr>
    </w:p>
    <w:p w:rsidR="002041C6" w:rsidRPr="000B017F" w:rsidRDefault="000B017F" w:rsidP="000B017F">
      <w:pPr>
        <w:pStyle w:val="NoSpacing"/>
        <w:numPr>
          <w:ilvl w:val="0"/>
          <w:numId w:val="42"/>
        </w:numPr>
        <w:rPr>
          <w:rFonts w:ascii="Times New Roman" w:hAnsi="Times New Roman"/>
          <w:b/>
          <w:sz w:val="24"/>
          <w:szCs w:val="24"/>
        </w:rPr>
      </w:pPr>
      <w:r>
        <w:rPr>
          <w:rFonts w:ascii="Times New Roman" w:hAnsi="Times New Roman"/>
          <w:b/>
          <w:sz w:val="24"/>
          <w:szCs w:val="24"/>
        </w:rPr>
        <w:t>A</w:t>
      </w:r>
      <w:r w:rsidR="002041C6" w:rsidRPr="000B017F">
        <w:rPr>
          <w:rFonts w:ascii="Times New Roman" w:hAnsi="Times New Roman"/>
          <w:b/>
          <w:sz w:val="24"/>
          <w:szCs w:val="24"/>
        </w:rPr>
        <w:t>bbreviations and Acronyms</w:t>
      </w:r>
    </w:p>
    <w:p w:rsidR="00163432" w:rsidRPr="00163432" w:rsidRDefault="00163432" w:rsidP="002041C6">
      <w:pPr>
        <w:pStyle w:val="Default"/>
        <w:jc w:val="both"/>
        <w:rPr>
          <w:rFonts w:ascii="Times New Roman" w:hAnsi="Times New Roman" w:cs="Times New Roman"/>
          <w:lang w:val="en-US"/>
        </w:rPr>
      </w:pPr>
    </w:p>
    <w:p w:rsidR="00163432" w:rsidRDefault="00163432" w:rsidP="00163432">
      <w:r>
        <w:t>DHMT</w:t>
      </w:r>
      <w:r>
        <w:tab/>
      </w:r>
      <w:r>
        <w:tab/>
      </w:r>
      <w:r>
        <w:tab/>
        <w:t>District Health Management Team</w:t>
      </w:r>
    </w:p>
    <w:p w:rsidR="00163432" w:rsidRDefault="00163432" w:rsidP="00163432">
      <w:r>
        <w:t>FHC</w:t>
      </w:r>
      <w:r>
        <w:tab/>
      </w:r>
      <w:r>
        <w:tab/>
      </w:r>
      <w:r>
        <w:tab/>
        <w:t>Free Health Care</w:t>
      </w:r>
    </w:p>
    <w:p w:rsidR="00163432" w:rsidRDefault="00163432" w:rsidP="00163432">
      <w:r>
        <w:t xml:space="preserve">HFAC </w:t>
      </w:r>
      <w:r>
        <w:tab/>
      </w:r>
      <w:r>
        <w:tab/>
      </w:r>
      <w:r>
        <w:tab/>
        <w:t>Health For All Coalition</w:t>
      </w:r>
    </w:p>
    <w:p w:rsidR="009F3978" w:rsidRDefault="009F3978" w:rsidP="00163432">
      <w:r>
        <w:t>IFRC</w:t>
      </w:r>
      <w:r>
        <w:tab/>
      </w:r>
      <w:r>
        <w:tab/>
      </w:r>
      <w:r>
        <w:tab/>
        <w:t>International Federation of the Red Cross</w:t>
      </w:r>
    </w:p>
    <w:p w:rsidR="00163432" w:rsidRPr="00DF3CDE" w:rsidRDefault="00163432" w:rsidP="002041C6">
      <w:pPr>
        <w:pStyle w:val="Default"/>
        <w:jc w:val="both"/>
        <w:rPr>
          <w:rFonts w:ascii="Times New Roman" w:hAnsi="Times New Roman" w:cs="Times New Roman"/>
        </w:rPr>
      </w:pPr>
      <w:r w:rsidRPr="00DF3CDE">
        <w:rPr>
          <w:rFonts w:ascii="Times New Roman" w:hAnsi="Times New Roman" w:cs="Times New Roman"/>
        </w:rPr>
        <w:t>IRS</w:t>
      </w:r>
      <w:r w:rsidRPr="00DF3CDE">
        <w:rPr>
          <w:rFonts w:ascii="Times New Roman" w:hAnsi="Times New Roman" w:cs="Times New Roman"/>
        </w:rPr>
        <w:tab/>
      </w:r>
      <w:r w:rsidRPr="00DF3CDE">
        <w:rPr>
          <w:rFonts w:ascii="Times New Roman" w:hAnsi="Times New Roman" w:cs="Times New Roman"/>
        </w:rPr>
        <w:tab/>
      </w:r>
      <w:r>
        <w:rPr>
          <w:rFonts w:ascii="Times New Roman" w:hAnsi="Times New Roman" w:cs="Times New Roman"/>
        </w:rPr>
        <w:tab/>
      </w:r>
      <w:r w:rsidRPr="00DF3CDE">
        <w:rPr>
          <w:rFonts w:ascii="Times New Roman" w:hAnsi="Times New Roman" w:cs="Times New Roman"/>
        </w:rPr>
        <w:t>Indoor Residual Spraying</w:t>
      </w:r>
    </w:p>
    <w:p w:rsidR="00163432" w:rsidRPr="00DF3CDE" w:rsidRDefault="00163432" w:rsidP="002041C6">
      <w:pPr>
        <w:pStyle w:val="Default"/>
        <w:jc w:val="both"/>
        <w:rPr>
          <w:rFonts w:ascii="Times New Roman" w:hAnsi="Times New Roman" w:cs="Times New Roman"/>
        </w:rPr>
      </w:pPr>
      <w:r w:rsidRPr="00DF3CDE">
        <w:rPr>
          <w:rFonts w:ascii="Times New Roman" w:hAnsi="Times New Roman" w:cs="Times New Roman"/>
        </w:rPr>
        <w:t>ITN</w:t>
      </w:r>
      <w:r w:rsidRPr="00DF3CDE">
        <w:rPr>
          <w:rFonts w:ascii="Times New Roman" w:hAnsi="Times New Roman" w:cs="Times New Roman"/>
        </w:rPr>
        <w:tab/>
      </w:r>
      <w:r w:rsidRPr="00DF3CDE">
        <w:rPr>
          <w:rFonts w:ascii="Times New Roman" w:hAnsi="Times New Roman" w:cs="Times New Roman"/>
        </w:rPr>
        <w:tab/>
      </w:r>
      <w:r>
        <w:rPr>
          <w:rFonts w:ascii="Times New Roman" w:hAnsi="Times New Roman" w:cs="Times New Roman"/>
        </w:rPr>
        <w:tab/>
      </w:r>
      <w:r w:rsidRPr="00DF3CDE">
        <w:rPr>
          <w:rFonts w:ascii="Times New Roman" w:hAnsi="Times New Roman" w:cs="Times New Roman"/>
        </w:rPr>
        <w:t>Insecticide Treated Nets</w:t>
      </w:r>
    </w:p>
    <w:p w:rsidR="00163432" w:rsidRPr="00DF3CDE" w:rsidRDefault="00163432" w:rsidP="002041C6">
      <w:pPr>
        <w:pStyle w:val="BodyText"/>
        <w:jc w:val="both"/>
        <w:rPr>
          <w:rFonts w:ascii="Times New Roman" w:hAnsi="Times New Roman" w:cs="Times New Roman"/>
          <w:sz w:val="24"/>
          <w:szCs w:val="24"/>
        </w:rPr>
      </w:pPr>
      <w:r w:rsidRPr="00DF3CDE">
        <w:rPr>
          <w:rFonts w:ascii="Times New Roman" w:hAnsi="Times New Roman" w:cs="Times New Roman"/>
          <w:sz w:val="24"/>
          <w:szCs w:val="24"/>
        </w:rPr>
        <w:t xml:space="preserve">LLINs     </w:t>
      </w:r>
      <w:r>
        <w:rPr>
          <w:rFonts w:ascii="Times New Roman" w:hAnsi="Times New Roman" w:cs="Times New Roman"/>
          <w:sz w:val="24"/>
          <w:szCs w:val="24"/>
        </w:rPr>
        <w:tab/>
      </w:r>
      <w:r>
        <w:rPr>
          <w:rFonts w:ascii="Times New Roman" w:hAnsi="Times New Roman" w:cs="Times New Roman"/>
          <w:sz w:val="24"/>
          <w:szCs w:val="24"/>
        </w:rPr>
        <w:tab/>
      </w:r>
      <w:r w:rsidRPr="00DF3CDE">
        <w:rPr>
          <w:rFonts w:ascii="Times New Roman" w:hAnsi="Times New Roman" w:cs="Times New Roman"/>
          <w:sz w:val="24"/>
          <w:szCs w:val="24"/>
        </w:rPr>
        <w:t xml:space="preserve">Long Lasting Insecticide treated Nets </w:t>
      </w:r>
    </w:p>
    <w:p w:rsidR="00163432" w:rsidRDefault="00163432" w:rsidP="00163432">
      <w:r>
        <w:t>MCHW</w:t>
      </w:r>
      <w:r>
        <w:tab/>
      </w:r>
      <w:r>
        <w:tab/>
        <w:t>Maternal and Child Health Week</w:t>
      </w:r>
    </w:p>
    <w:p w:rsidR="00163432" w:rsidRDefault="00163432" w:rsidP="00163432">
      <w:r>
        <w:t>MOHS</w:t>
      </w:r>
      <w:r>
        <w:tab/>
      </w:r>
      <w:r>
        <w:tab/>
      </w:r>
      <w:r>
        <w:tab/>
        <w:t>Ministry of Health and Sanitation</w:t>
      </w:r>
      <w:bookmarkStart w:id="5" w:name="_GoBack"/>
      <w:bookmarkEnd w:id="5"/>
    </w:p>
    <w:p w:rsidR="006E6DAD" w:rsidRDefault="006E6DAD" w:rsidP="00163432">
      <w:r>
        <w:t>NETHIPS</w:t>
      </w:r>
      <w:r>
        <w:tab/>
      </w:r>
      <w:r>
        <w:tab/>
        <w:t>Network of HIV Positives in Sierra Leone</w:t>
      </w:r>
    </w:p>
    <w:p w:rsidR="00163432" w:rsidRPr="00DF3CDE" w:rsidRDefault="00163432" w:rsidP="002041C6">
      <w:pPr>
        <w:pStyle w:val="Default"/>
        <w:jc w:val="both"/>
        <w:rPr>
          <w:rFonts w:ascii="Times New Roman" w:hAnsi="Times New Roman" w:cs="Times New Roman"/>
          <w:lang w:val="en-US"/>
        </w:rPr>
      </w:pPr>
      <w:r w:rsidRPr="00DF3CDE">
        <w:rPr>
          <w:rFonts w:ascii="Times New Roman" w:hAnsi="Times New Roman" w:cs="Times New Roman"/>
          <w:lang w:val="en-US"/>
        </w:rPr>
        <w:t>NMCP</w:t>
      </w:r>
      <w:r w:rsidRPr="00DF3CDE">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sidRPr="00DF3CDE">
        <w:rPr>
          <w:rFonts w:ascii="Times New Roman" w:hAnsi="Times New Roman" w:cs="Times New Roman"/>
          <w:lang w:val="en-US"/>
        </w:rPr>
        <w:t>National Malaria Control Programme</w:t>
      </w:r>
    </w:p>
    <w:p w:rsidR="00163432" w:rsidRDefault="00163432" w:rsidP="002041C6">
      <w:pPr>
        <w:rPr>
          <w:lang w:eastAsia="en-ZW"/>
        </w:rPr>
      </w:pPr>
      <w:r w:rsidRPr="00DF3CDE">
        <w:rPr>
          <w:lang w:eastAsia="en-ZW"/>
        </w:rPr>
        <w:t xml:space="preserve">PPE              </w:t>
      </w:r>
      <w:r>
        <w:rPr>
          <w:lang w:eastAsia="en-ZW"/>
        </w:rPr>
        <w:tab/>
      </w:r>
      <w:r>
        <w:rPr>
          <w:lang w:eastAsia="en-ZW"/>
        </w:rPr>
        <w:tab/>
      </w:r>
      <w:r w:rsidRPr="00DF3CDE">
        <w:rPr>
          <w:lang w:eastAsia="en-ZW"/>
        </w:rPr>
        <w:t>Personal Protection Equipment</w:t>
      </w:r>
    </w:p>
    <w:p w:rsidR="005D40AB" w:rsidRPr="00DF3CDE" w:rsidRDefault="005D40AB" w:rsidP="002041C6">
      <w:r>
        <w:rPr>
          <w:lang w:eastAsia="en-ZW"/>
        </w:rPr>
        <w:t>UNICEF</w:t>
      </w:r>
      <w:r>
        <w:rPr>
          <w:lang w:eastAsia="en-ZW"/>
        </w:rPr>
        <w:tab/>
      </w:r>
      <w:r>
        <w:rPr>
          <w:lang w:eastAsia="en-ZW"/>
        </w:rPr>
        <w:tab/>
        <w:t>United Nations Children’s Fund</w:t>
      </w:r>
    </w:p>
    <w:p w:rsidR="00163432" w:rsidRDefault="00163432" w:rsidP="002041C6">
      <w:pPr>
        <w:pStyle w:val="Default"/>
        <w:jc w:val="both"/>
        <w:rPr>
          <w:rFonts w:ascii="Times New Roman" w:hAnsi="Times New Roman" w:cs="Times New Roman"/>
        </w:rPr>
      </w:pPr>
      <w:r w:rsidRPr="00DF3CDE">
        <w:rPr>
          <w:rFonts w:ascii="Times New Roman" w:hAnsi="Times New Roman" w:cs="Times New Roman"/>
        </w:rPr>
        <w:t>WHO</w:t>
      </w:r>
      <w:r w:rsidRPr="00DF3CD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F3CDE">
        <w:rPr>
          <w:rFonts w:ascii="Times New Roman" w:hAnsi="Times New Roman" w:cs="Times New Roman"/>
        </w:rPr>
        <w:t>World Health Organisation</w:t>
      </w:r>
    </w:p>
    <w:p w:rsidR="005D40AB" w:rsidRPr="00900D9A" w:rsidRDefault="005D40AB" w:rsidP="00266F61">
      <w:pPr>
        <w:sectPr w:rsidR="005D40AB" w:rsidRPr="00900D9A" w:rsidSect="002041C6">
          <w:footerReference w:type="default" r:id="rId9"/>
          <w:headerReference w:type="first" r:id="rId10"/>
          <w:footerReference w:type="first" r:id="rId11"/>
          <w:pgSz w:w="11907" w:h="16839" w:code="9"/>
          <w:pgMar w:top="1440" w:right="1440" w:bottom="1440" w:left="1440" w:header="720" w:footer="418" w:gutter="0"/>
          <w:cols w:space="720"/>
          <w:titlePg/>
          <w:docGrid w:linePitch="360"/>
        </w:sectPr>
      </w:pPr>
      <w:r>
        <w:t>WFP</w:t>
      </w:r>
      <w:r>
        <w:tab/>
      </w:r>
      <w:r>
        <w:tab/>
      </w:r>
      <w:r>
        <w:tab/>
        <w:t>World Food Program</w:t>
      </w:r>
      <w:r w:rsidR="00900D9A">
        <w:t xml:space="preserve">me </w:t>
      </w:r>
    </w:p>
    <w:p w:rsidR="00C416C0" w:rsidRPr="00C416C0" w:rsidRDefault="00C416C0" w:rsidP="00266F61">
      <w:pPr>
        <w:pStyle w:val="BodyText"/>
        <w:tabs>
          <w:tab w:val="left" w:pos="360"/>
        </w:tabs>
        <w:jc w:val="both"/>
        <w:rPr>
          <w:rFonts w:ascii="Times New Roman" w:hAnsi="Times New Roman"/>
          <w:bCs/>
          <w:sz w:val="24"/>
        </w:rPr>
      </w:pPr>
    </w:p>
    <w:sectPr w:rsidR="00C416C0" w:rsidRPr="00C416C0" w:rsidSect="002041C6">
      <w:pgSz w:w="12240" w:h="15840" w:code="1"/>
      <w:pgMar w:top="810" w:right="810" w:bottom="1354" w:left="806" w:header="720" w:footer="41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29F0" w:rsidRDefault="000829F0">
      <w:r>
        <w:separator/>
      </w:r>
    </w:p>
  </w:endnote>
  <w:endnote w:type="continuationSeparator" w:id="1">
    <w:p w:rsidR="000829F0" w:rsidRDefault="000829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D9A" w:rsidRDefault="00900D9A">
    <w:pPr>
      <w:pStyle w:val="Footer"/>
      <w:pBdr>
        <w:top w:val="single" w:sz="4" w:space="1" w:color="auto"/>
      </w:pBdr>
      <w:tabs>
        <w:tab w:val="clear" w:pos="4320"/>
        <w:tab w:val="clear" w:pos="8640"/>
        <w:tab w:val="center" w:pos="4500"/>
        <w:tab w:val="right" w:pos="9000"/>
      </w:tabs>
      <w:rPr>
        <w:rFonts w:ascii="Arial" w:hAnsi="Arial" w:cs="Arial"/>
        <w:sz w:val="18"/>
        <w:szCs w:val="18"/>
      </w:rPr>
    </w:pPr>
    <w:r>
      <w:rPr>
        <w:rFonts w:ascii="Arial" w:hAnsi="Arial" w:cs="Arial"/>
        <w:sz w:val="18"/>
        <w:szCs w:val="18"/>
        <w:lang w:val="en-GB"/>
      </w:rPr>
      <w:t>MDTF Annual Progress Report</w:t>
    </w:r>
    <w:r>
      <w:rPr>
        <w:rFonts w:ascii="Arial" w:hAnsi="Arial" w:cs="Arial"/>
        <w:sz w:val="18"/>
        <w:szCs w:val="18"/>
      </w:rPr>
      <w:tab/>
      <w:t>1 January – 3</w:t>
    </w:r>
    <w:r>
      <w:rPr>
        <w:rFonts w:ascii="Arial" w:hAnsi="Arial" w:cs="Arial"/>
        <w:sz w:val="18"/>
        <w:szCs w:val="18"/>
        <w:lang w:val="en-GB"/>
      </w:rPr>
      <w:t>1</w:t>
    </w:r>
    <w:r>
      <w:rPr>
        <w:rFonts w:ascii="Arial" w:hAnsi="Arial" w:cs="Arial"/>
        <w:sz w:val="18"/>
        <w:szCs w:val="18"/>
      </w:rPr>
      <w:t xml:space="preserve"> </w:t>
    </w:r>
    <w:r>
      <w:rPr>
        <w:rFonts w:ascii="Arial" w:hAnsi="Arial" w:cs="Arial"/>
        <w:sz w:val="18"/>
        <w:szCs w:val="18"/>
        <w:lang w:val="en-GB"/>
      </w:rPr>
      <w:t>December</w:t>
    </w:r>
    <w:r>
      <w:rPr>
        <w:rFonts w:ascii="Arial" w:hAnsi="Arial" w:cs="Arial"/>
        <w:sz w:val="18"/>
        <w:szCs w:val="18"/>
      </w:rPr>
      <w:t xml:space="preserve"> 20</w:t>
    </w:r>
    <w:r>
      <w:rPr>
        <w:rFonts w:ascii="Arial" w:hAnsi="Arial" w:cs="Arial"/>
        <w:sz w:val="18"/>
        <w:szCs w:val="18"/>
        <w:lang w:val="en-GB"/>
      </w:rPr>
      <w:t>10</w:t>
    </w:r>
    <w:r>
      <w:rPr>
        <w:rFonts w:ascii="Arial" w:hAnsi="Arial" w:cs="Arial"/>
        <w:sz w:val="18"/>
        <w:szCs w:val="18"/>
      </w:rPr>
      <w:tab/>
      <w:t xml:space="preserve">Page </w:t>
    </w:r>
    <w:r w:rsidR="00B74F74">
      <w:rPr>
        <w:rFonts w:ascii="Arial" w:hAnsi="Arial" w:cs="Arial"/>
        <w:sz w:val="18"/>
        <w:szCs w:val="18"/>
      </w:rPr>
      <w:fldChar w:fldCharType="begin"/>
    </w:r>
    <w:r>
      <w:rPr>
        <w:rFonts w:ascii="Arial" w:hAnsi="Arial" w:cs="Arial"/>
        <w:sz w:val="18"/>
        <w:szCs w:val="18"/>
      </w:rPr>
      <w:instrText xml:space="preserve"> PAGE   \* MERGEFORMAT </w:instrText>
    </w:r>
    <w:r w:rsidR="00B74F74">
      <w:rPr>
        <w:rFonts w:ascii="Arial" w:hAnsi="Arial" w:cs="Arial"/>
        <w:sz w:val="18"/>
        <w:szCs w:val="18"/>
      </w:rPr>
      <w:fldChar w:fldCharType="separate"/>
    </w:r>
    <w:r w:rsidR="00A85822">
      <w:rPr>
        <w:rFonts w:ascii="Arial" w:hAnsi="Arial" w:cs="Arial"/>
        <w:noProof/>
        <w:sz w:val="18"/>
        <w:szCs w:val="18"/>
      </w:rPr>
      <w:t>2</w:t>
    </w:r>
    <w:r w:rsidR="00B74F74">
      <w:rPr>
        <w:rFonts w:ascii="Arial" w:hAnsi="Arial" w:cs="Arial"/>
        <w:sz w:val="18"/>
        <w:szCs w:val="18"/>
      </w:rPr>
      <w:fldChar w:fldCharType="end"/>
    </w:r>
    <w:r>
      <w:rPr>
        <w:rFonts w:ascii="Arial" w:hAnsi="Arial" w:cs="Arial"/>
        <w:sz w:val="18"/>
        <w:szCs w:val="18"/>
      </w:rPr>
      <w:t xml:space="preserve"> of </w:t>
    </w:r>
    <w:fldSimple w:instr=" NUMPAGES   \* MERGEFORMAT ">
      <w:r w:rsidR="00A85822" w:rsidRPr="00A85822">
        <w:rPr>
          <w:rFonts w:ascii="Arial" w:hAnsi="Arial" w:cs="Arial"/>
          <w:noProof/>
          <w:sz w:val="18"/>
          <w:szCs w:val="18"/>
        </w:rPr>
        <w:t>14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D9A" w:rsidRDefault="00900D9A">
    <w:pPr>
      <w:pStyle w:val="Footer"/>
      <w:pBdr>
        <w:top w:val="single" w:sz="4" w:space="1" w:color="auto"/>
      </w:pBdr>
      <w:tabs>
        <w:tab w:val="clear" w:pos="4320"/>
        <w:tab w:val="clear" w:pos="8640"/>
        <w:tab w:val="center" w:pos="4500"/>
        <w:tab w:val="right" w:pos="9000"/>
      </w:tabs>
      <w:rPr>
        <w:rFonts w:ascii="Arial" w:hAnsi="Arial" w:cs="Arial"/>
        <w:sz w:val="18"/>
        <w:szCs w:val="18"/>
      </w:rPr>
    </w:pPr>
    <w:r>
      <w:rPr>
        <w:rFonts w:ascii="Arial" w:hAnsi="Arial" w:cs="Arial"/>
        <w:sz w:val="18"/>
        <w:szCs w:val="18"/>
        <w:lang w:val="en-GB"/>
      </w:rPr>
      <w:t>MDTF Annual</w:t>
    </w:r>
    <w:r>
      <w:rPr>
        <w:rFonts w:ascii="Arial" w:hAnsi="Arial" w:cs="Arial"/>
        <w:sz w:val="18"/>
        <w:szCs w:val="18"/>
      </w:rPr>
      <w:t xml:space="preserve"> Progress Report</w:t>
    </w:r>
    <w:r>
      <w:rPr>
        <w:rFonts w:ascii="Arial" w:hAnsi="Arial" w:cs="Arial"/>
        <w:sz w:val="18"/>
        <w:szCs w:val="18"/>
      </w:rPr>
      <w:tab/>
      <w:t xml:space="preserve">1 January – </w:t>
    </w:r>
    <w:r>
      <w:rPr>
        <w:rFonts w:ascii="Arial" w:hAnsi="Arial" w:cs="Arial"/>
        <w:sz w:val="18"/>
        <w:szCs w:val="18"/>
        <w:lang w:val="en-GB"/>
      </w:rPr>
      <w:t>31 December 2010</w:t>
    </w:r>
    <w:r>
      <w:rPr>
        <w:rFonts w:ascii="Arial" w:hAnsi="Arial" w:cs="Arial"/>
        <w:sz w:val="18"/>
        <w:szCs w:val="18"/>
      </w:rPr>
      <w:tab/>
      <w:t xml:space="preserve">Page </w:t>
    </w:r>
    <w:r w:rsidR="00B74F74">
      <w:rPr>
        <w:rFonts w:ascii="Arial" w:hAnsi="Arial" w:cs="Arial"/>
        <w:sz w:val="18"/>
        <w:szCs w:val="18"/>
      </w:rPr>
      <w:fldChar w:fldCharType="begin"/>
    </w:r>
    <w:r>
      <w:rPr>
        <w:rFonts w:ascii="Arial" w:hAnsi="Arial" w:cs="Arial"/>
        <w:sz w:val="18"/>
        <w:szCs w:val="18"/>
      </w:rPr>
      <w:instrText xml:space="preserve"> PAGE   \* MERGEFORMAT </w:instrText>
    </w:r>
    <w:r w:rsidR="00B74F74">
      <w:rPr>
        <w:rFonts w:ascii="Arial" w:hAnsi="Arial" w:cs="Arial"/>
        <w:sz w:val="18"/>
        <w:szCs w:val="18"/>
      </w:rPr>
      <w:fldChar w:fldCharType="separate"/>
    </w:r>
    <w:r w:rsidR="00A85822">
      <w:rPr>
        <w:rFonts w:ascii="Arial" w:hAnsi="Arial" w:cs="Arial"/>
        <w:noProof/>
        <w:sz w:val="18"/>
        <w:szCs w:val="18"/>
      </w:rPr>
      <w:t>1</w:t>
    </w:r>
    <w:r w:rsidR="00B74F74">
      <w:rPr>
        <w:rFonts w:ascii="Arial" w:hAnsi="Arial" w:cs="Arial"/>
        <w:sz w:val="18"/>
        <w:szCs w:val="18"/>
      </w:rPr>
      <w:fldChar w:fldCharType="end"/>
    </w:r>
    <w:r>
      <w:rPr>
        <w:rFonts w:ascii="Arial" w:hAnsi="Arial" w:cs="Arial"/>
        <w:sz w:val="18"/>
        <w:szCs w:val="18"/>
      </w:rPr>
      <w:t xml:space="preserve"> of </w:t>
    </w:r>
    <w:fldSimple w:instr=" NUMPAGES   \* MERGEFORMAT ">
      <w:r w:rsidR="00A85822" w:rsidRPr="00A85822">
        <w:rPr>
          <w:rFonts w:ascii="Arial" w:hAnsi="Arial" w:cs="Arial"/>
          <w:noProof/>
          <w:sz w:val="18"/>
          <w:szCs w:val="18"/>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29F0" w:rsidRDefault="000829F0">
      <w:r>
        <w:separator/>
      </w:r>
    </w:p>
  </w:footnote>
  <w:footnote w:type="continuationSeparator" w:id="1">
    <w:p w:rsidR="000829F0" w:rsidRDefault="000829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D9A" w:rsidRDefault="00900D9A" w:rsidP="002041C6">
    <w:pPr>
      <w:pStyle w:val="Header"/>
      <w:jc w:val="center"/>
    </w:pPr>
    <w:r>
      <w:rPr>
        <w:rFonts w:ascii="Arial" w:hAnsi="Arial"/>
        <w:noProof/>
        <w:spacing w:val="-3"/>
        <w:sz w:val="20"/>
      </w:rPr>
      <w:drawing>
        <wp:inline distT="0" distB="0" distL="0" distR="0">
          <wp:extent cx="1028700" cy="8001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10838" t="3618" r="10838" b="16402"/>
                  <a:stretch>
                    <a:fillRect/>
                  </a:stretch>
                </pic:blipFill>
                <pic:spPr bwMode="auto">
                  <a:xfrm>
                    <a:off x="0" y="0"/>
                    <a:ext cx="1028700" cy="800100"/>
                  </a:xfrm>
                  <a:prstGeom prst="rect">
                    <a:avLst/>
                  </a:prstGeom>
                  <a:solidFill>
                    <a:srgbClr val="3366FF"/>
                  </a:solid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53394"/>
    <w:multiLevelType w:val="hybridMultilevel"/>
    <w:tmpl w:val="4D5083FC"/>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FD6F56"/>
    <w:multiLevelType w:val="hybridMultilevel"/>
    <w:tmpl w:val="030EB3A6"/>
    <w:lvl w:ilvl="0" w:tplc="04090001">
      <w:start w:val="1"/>
      <w:numFmt w:val="bullet"/>
      <w:lvlText w:val=""/>
      <w:lvlJc w:val="left"/>
      <w:pPr>
        <w:ind w:left="720" w:hanging="360"/>
      </w:pPr>
      <w:rPr>
        <w:rFonts w:ascii="Symbol" w:hAnsi="Symbol" w:hint="default"/>
      </w:rPr>
    </w:lvl>
    <w:lvl w:ilvl="1" w:tplc="613A556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223764"/>
    <w:multiLevelType w:val="hybridMultilevel"/>
    <w:tmpl w:val="6A4EA52E"/>
    <w:lvl w:ilvl="0" w:tplc="3A9E07C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9E0FFD"/>
    <w:multiLevelType w:val="hybridMultilevel"/>
    <w:tmpl w:val="251AA0A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FEB5570"/>
    <w:multiLevelType w:val="hybridMultilevel"/>
    <w:tmpl w:val="012092BC"/>
    <w:lvl w:ilvl="0" w:tplc="A0624842">
      <w:start w:val="1"/>
      <w:numFmt w:val="upperRoman"/>
      <w:lvlText w:val="%1."/>
      <w:lvlJc w:val="left"/>
      <w:pPr>
        <w:tabs>
          <w:tab w:val="num" w:pos="1080"/>
        </w:tabs>
        <w:ind w:left="1080" w:hanging="720"/>
      </w:pPr>
      <w:rPr>
        <w:rFonts w:hint="default"/>
      </w:rPr>
    </w:lvl>
    <w:lvl w:ilvl="1" w:tplc="862A952A">
      <w:numFmt w:val="none"/>
      <w:lvlText w:val=""/>
      <w:lvlJc w:val="left"/>
      <w:pPr>
        <w:tabs>
          <w:tab w:val="num" w:pos="360"/>
        </w:tabs>
      </w:pPr>
    </w:lvl>
    <w:lvl w:ilvl="2" w:tplc="E7485428">
      <w:numFmt w:val="none"/>
      <w:lvlText w:val=""/>
      <w:lvlJc w:val="left"/>
      <w:pPr>
        <w:tabs>
          <w:tab w:val="num" w:pos="360"/>
        </w:tabs>
      </w:pPr>
    </w:lvl>
    <w:lvl w:ilvl="3" w:tplc="FD789764">
      <w:numFmt w:val="none"/>
      <w:lvlText w:val=""/>
      <w:lvlJc w:val="left"/>
      <w:pPr>
        <w:tabs>
          <w:tab w:val="num" w:pos="360"/>
        </w:tabs>
      </w:pPr>
    </w:lvl>
    <w:lvl w:ilvl="4" w:tplc="5EFA0FBC">
      <w:numFmt w:val="none"/>
      <w:lvlText w:val=""/>
      <w:lvlJc w:val="left"/>
      <w:pPr>
        <w:tabs>
          <w:tab w:val="num" w:pos="360"/>
        </w:tabs>
      </w:pPr>
    </w:lvl>
    <w:lvl w:ilvl="5" w:tplc="1336440C">
      <w:numFmt w:val="none"/>
      <w:lvlText w:val=""/>
      <w:lvlJc w:val="left"/>
      <w:pPr>
        <w:tabs>
          <w:tab w:val="num" w:pos="360"/>
        </w:tabs>
      </w:pPr>
    </w:lvl>
    <w:lvl w:ilvl="6" w:tplc="D87228D2">
      <w:numFmt w:val="none"/>
      <w:lvlText w:val=""/>
      <w:lvlJc w:val="left"/>
      <w:pPr>
        <w:tabs>
          <w:tab w:val="num" w:pos="360"/>
        </w:tabs>
      </w:pPr>
    </w:lvl>
    <w:lvl w:ilvl="7" w:tplc="49E6716E">
      <w:numFmt w:val="none"/>
      <w:lvlText w:val=""/>
      <w:lvlJc w:val="left"/>
      <w:pPr>
        <w:tabs>
          <w:tab w:val="num" w:pos="360"/>
        </w:tabs>
      </w:pPr>
    </w:lvl>
    <w:lvl w:ilvl="8" w:tplc="035EA2D6">
      <w:numFmt w:val="none"/>
      <w:lvlText w:val=""/>
      <w:lvlJc w:val="left"/>
      <w:pPr>
        <w:tabs>
          <w:tab w:val="num" w:pos="360"/>
        </w:tabs>
      </w:pPr>
    </w:lvl>
  </w:abstractNum>
  <w:abstractNum w:abstractNumId="5">
    <w:nsid w:val="11D24AAF"/>
    <w:multiLevelType w:val="hybridMultilevel"/>
    <w:tmpl w:val="B678C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8FD62E3"/>
    <w:multiLevelType w:val="hybridMultilevel"/>
    <w:tmpl w:val="CE204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03768E"/>
    <w:multiLevelType w:val="hybridMultilevel"/>
    <w:tmpl w:val="08DC2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D457FC"/>
    <w:multiLevelType w:val="hybridMultilevel"/>
    <w:tmpl w:val="37CAD0F2"/>
    <w:lvl w:ilvl="0" w:tplc="04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EF96AC1"/>
    <w:multiLevelType w:val="hybridMultilevel"/>
    <w:tmpl w:val="37E0E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9D06E6"/>
    <w:multiLevelType w:val="hybridMultilevel"/>
    <w:tmpl w:val="BC7C7EAA"/>
    <w:lvl w:ilvl="0" w:tplc="04090001">
      <w:start w:val="1"/>
      <w:numFmt w:val="bullet"/>
      <w:lvlText w:val=""/>
      <w:lvlJc w:val="left"/>
      <w:pPr>
        <w:ind w:left="0" w:hanging="360"/>
      </w:pPr>
      <w:rPr>
        <w:rFonts w:ascii="Symbol" w:hAnsi="Symbol"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nsid w:val="285D2194"/>
    <w:multiLevelType w:val="hybridMultilevel"/>
    <w:tmpl w:val="98D48AF6"/>
    <w:lvl w:ilvl="0" w:tplc="97E6D02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386FFD"/>
    <w:multiLevelType w:val="hybridMultilevel"/>
    <w:tmpl w:val="0CAA364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35D31EA4"/>
    <w:multiLevelType w:val="hybridMultilevel"/>
    <w:tmpl w:val="F8046E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36674296"/>
    <w:multiLevelType w:val="hybridMultilevel"/>
    <w:tmpl w:val="88CC98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4B2D90"/>
    <w:multiLevelType w:val="hybridMultilevel"/>
    <w:tmpl w:val="C742CE2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D4F2F8C"/>
    <w:multiLevelType w:val="hybridMultilevel"/>
    <w:tmpl w:val="A3D6BDA6"/>
    <w:lvl w:ilvl="0" w:tplc="04090001">
      <w:start w:val="1"/>
      <w:numFmt w:val="bullet"/>
      <w:lvlText w:val=""/>
      <w:lvlJc w:val="left"/>
      <w:pPr>
        <w:ind w:left="-18000" w:hanging="360"/>
      </w:pPr>
      <w:rPr>
        <w:rFonts w:ascii="Symbol" w:hAnsi="Symbol" w:hint="default"/>
      </w:rPr>
    </w:lvl>
    <w:lvl w:ilvl="1" w:tplc="04090003" w:tentative="1">
      <w:start w:val="1"/>
      <w:numFmt w:val="bullet"/>
      <w:lvlText w:val="o"/>
      <w:lvlJc w:val="left"/>
      <w:pPr>
        <w:ind w:left="-17280" w:hanging="360"/>
      </w:pPr>
      <w:rPr>
        <w:rFonts w:ascii="Courier New" w:hAnsi="Courier New" w:cs="Courier New" w:hint="default"/>
      </w:rPr>
    </w:lvl>
    <w:lvl w:ilvl="2" w:tplc="04090005" w:tentative="1">
      <w:start w:val="1"/>
      <w:numFmt w:val="bullet"/>
      <w:lvlText w:val=""/>
      <w:lvlJc w:val="left"/>
      <w:pPr>
        <w:ind w:left="-16560" w:hanging="360"/>
      </w:pPr>
      <w:rPr>
        <w:rFonts w:ascii="Wingdings" w:hAnsi="Wingdings" w:hint="default"/>
      </w:rPr>
    </w:lvl>
    <w:lvl w:ilvl="3" w:tplc="04090001" w:tentative="1">
      <w:start w:val="1"/>
      <w:numFmt w:val="bullet"/>
      <w:lvlText w:val=""/>
      <w:lvlJc w:val="left"/>
      <w:pPr>
        <w:ind w:left="-15840" w:hanging="360"/>
      </w:pPr>
      <w:rPr>
        <w:rFonts w:ascii="Symbol" w:hAnsi="Symbol" w:hint="default"/>
      </w:rPr>
    </w:lvl>
    <w:lvl w:ilvl="4" w:tplc="04090003" w:tentative="1">
      <w:start w:val="1"/>
      <w:numFmt w:val="bullet"/>
      <w:lvlText w:val="o"/>
      <w:lvlJc w:val="left"/>
      <w:pPr>
        <w:ind w:left="-15120" w:hanging="360"/>
      </w:pPr>
      <w:rPr>
        <w:rFonts w:ascii="Courier New" w:hAnsi="Courier New" w:cs="Courier New" w:hint="default"/>
      </w:rPr>
    </w:lvl>
    <w:lvl w:ilvl="5" w:tplc="04090005" w:tentative="1">
      <w:start w:val="1"/>
      <w:numFmt w:val="bullet"/>
      <w:lvlText w:val=""/>
      <w:lvlJc w:val="left"/>
      <w:pPr>
        <w:ind w:left="-1440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296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8">
    <w:nsid w:val="401934AE"/>
    <w:multiLevelType w:val="hybridMultilevel"/>
    <w:tmpl w:val="19C6FF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25B6E97"/>
    <w:multiLevelType w:val="hybridMultilevel"/>
    <w:tmpl w:val="C1DEF1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E97AB0"/>
    <w:multiLevelType w:val="hybridMultilevel"/>
    <w:tmpl w:val="26C24556"/>
    <w:lvl w:ilvl="0" w:tplc="3A9E07C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221F61"/>
    <w:multiLevelType w:val="hybridMultilevel"/>
    <w:tmpl w:val="10D650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611309"/>
    <w:multiLevelType w:val="hybridMultilevel"/>
    <w:tmpl w:val="28B85F2A"/>
    <w:lvl w:ilvl="0" w:tplc="47BA0D3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9C3ED6"/>
    <w:multiLevelType w:val="hybridMultilevel"/>
    <w:tmpl w:val="D7F20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722D35"/>
    <w:multiLevelType w:val="hybridMultilevel"/>
    <w:tmpl w:val="F4027B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A113AC9"/>
    <w:multiLevelType w:val="hybridMultilevel"/>
    <w:tmpl w:val="6960F77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nsid w:val="51487B97"/>
    <w:multiLevelType w:val="hybridMultilevel"/>
    <w:tmpl w:val="4004681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FB1340"/>
    <w:multiLevelType w:val="hybridMultilevel"/>
    <w:tmpl w:val="846EFF1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29C5263"/>
    <w:multiLevelType w:val="hybridMultilevel"/>
    <w:tmpl w:val="30E4EDB0"/>
    <w:lvl w:ilvl="0" w:tplc="ED1E5AC8">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C51A6D"/>
    <w:multiLevelType w:val="hybridMultilevel"/>
    <w:tmpl w:val="F050EC68"/>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52D3175"/>
    <w:multiLevelType w:val="hybridMultilevel"/>
    <w:tmpl w:val="48AC4F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658B613B"/>
    <w:multiLevelType w:val="hybridMultilevel"/>
    <w:tmpl w:val="CFF44B6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8AA0EAF"/>
    <w:multiLevelType w:val="hybridMultilevel"/>
    <w:tmpl w:val="23E0B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B573C86"/>
    <w:multiLevelType w:val="hybridMultilevel"/>
    <w:tmpl w:val="5546E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E332DC"/>
    <w:multiLevelType w:val="hybridMultilevel"/>
    <w:tmpl w:val="F08CCFF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D3C6A8A"/>
    <w:multiLevelType w:val="hybridMultilevel"/>
    <w:tmpl w:val="174E6D5A"/>
    <w:lvl w:ilvl="0" w:tplc="59C07E12">
      <w:start w:val="4"/>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6F172F"/>
    <w:multiLevelType w:val="hybridMultilevel"/>
    <w:tmpl w:val="526423B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65B630C"/>
    <w:multiLevelType w:val="hybridMultilevel"/>
    <w:tmpl w:val="3E5A8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BC6EC2"/>
    <w:multiLevelType w:val="hybridMultilevel"/>
    <w:tmpl w:val="D3F298F8"/>
    <w:lvl w:ilvl="0" w:tplc="3A9E07C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84257E0"/>
    <w:multiLevelType w:val="hybridMultilevel"/>
    <w:tmpl w:val="683A07C6"/>
    <w:lvl w:ilvl="0" w:tplc="699CFE0A">
      <w:start w:val="2"/>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DAA31A9"/>
    <w:multiLevelType w:val="hybridMultilevel"/>
    <w:tmpl w:val="AD36633E"/>
    <w:lvl w:ilvl="0" w:tplc="E766FB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16788E"/>
    <w:multiLevelType w:val="hybridMultilevel"/>
    <w:tmpl w:val="654218D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23"/>
  </w:num>
  <w:num w:numId="4">
    <w:abstractNumId w:val="37"/>
  </w:num>
  <w:num w:numId="5">
    <w:abstractNumId w:val="9"/>
  </w:num>
  <w:num w:numId="6">
    <w:abstractNumId w:val="15"/>
  </w:num>
  <w:num w:numId="7">
    <w:abstractNumId w:val="42"/>
  </w:num>
  <w:num w:numId="8">
    <w:abstractNumId w:val="24"/>
  </w:num>
  <w:num w:numId="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20"/>
  </w:num>
  <w:num w:numId="12">
    <w:abstractNumId w:val="40"/>
  </w:num>
  <w:num w:numId="13">
    <w:abstractNumId w:val="17"/>
  </w:num>
  <w:num w:numId="14">
    <w:abstractNumId w:val="1"/>
  </w:num>
  <w:num w:numId="15">
    <w:abstractNumId w:val="6"/>
  </w:num>
  <w:num w:numId="16">
    <w:abstractNumId w:val="10"/>
  </w:num>
  <w:num w:numId="17">
    <w:abstractNumId w:val="35"/>
  </w:num>
  <w:num w:numId="18">
    <w:abstractNumId w:val="7"/>
  </w:num>
  <w:num w:numId="19">
    <w:abstractNumId w:val="5"/>
  </w:num>
  <w:num w:numId="20">
    <w:abstractNumId w:val="30"/>
  </w:num>
  <w:num w:numId="21">
    <w:abstractNumId w:val="13"/>
  </w:num>
  <w:num w:numId="22">
    <w:abstractNumId w:val="31"/>
  </w:num>
  <w:num w:numId="23">
    <w:abstractNumId w:val="43"/>
  </w:num>
  <w:num w:numId="24">
    <w:abstractNumId w:val="29"/>
  </w:num>
  <w:num w:numId="25">
    <w:abstractNumId w:val="34"/>
  </w:num>
  <w:num w:numId="26">
    <w:abstractNumId w:val="22"/>
  </w:num>
  <w:num w:numId="27">
    <w:abstractNumId w:val="11"/>
  </w:num>
  <w:num w:numId="28">
    <w:abstractNumId w:val="0"/>
  </w:num>
  <w:num w:numId="29">
    <w:abstractNumId w:val="41"/>
  </w:num>
  <w:num w:numId="30">
    <w:abstractNumId w:val="38"/>
  </w:num>
  <w:num w:numId="31">
    <w:abstractNumId w:val="8"/>
  </w:num>
  <w:num w:numId="32">
    <w:abstractNumId w:val="39"/>
  </w:num>
  <w:num w:numId="33">
    <w:abstractNumId w:val="18"/>
  </w:num>
  <w:num w:numId="34">
    <w:abstractNumId w:val="32"/>
  </w:num>
  <w:num w:numId="35">
    <w:abstractNumId w:val="36"/>
  </w:num>
  <w:num w:numId="36">
    <w:abstractNumId w:val="19"/>
  </w:num>
  <w:num w:numId="37">
    <w:abstractNumId w:val="3"/>
  </w:num>
  <w:num w:numId="38">
    <w:abstractNumId w:val="21"/>
  </w:num>
  <w:num w:numId="39">
    <w:abstractNumId w:val="16"/>
  </w:num>
  <w:num w:numId="40">
    <w:abstractNumId w:val="28"/>
  </w:num>
  <w:num w:numId="41">
    <w:abstractNumId w:val="12"/>
  </w:num>
  <w:num w:numId="42">
    <w:abstractNumId w:val="44"/>
  </w:num>
  <w:num w:numId="43">
    <w:abstractNumId w:val="27"/>
  </w:num>
  <w:num w:numId="44">
    <w:abstractNumId w:val="25"/>
  </w:num>
  <w:num w:numId="45">
    <w:abstractNumId w:val="1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drawingGridHorizontalSpacing w:val="120"/>
  <w:displayHorizontalDrawingGridEvery w:val="2"/>
  <w:noPunctuationKerning/>
  <w:characterSpacingControl w:val="doNotCompress"/>
  <w:hdrShapeDefaults>
    <o:shapedefaults v:ext="edit" spidmax="49154"/>
  </w:hdrShapeDefaults>
  <w:footnotePr>
    <w:footnote w:id="0"/>
    <w:footnote w:id="1"/>
  </w:footnotePr>
  <w:endnotePr>
    <w:endnote w:id="0"/>
    <w:endnote w:id="1"/>
  </w:endnotePr>
  <w:compat/>
  <w:rsids>
    <w:rsidRoot w:val="008F2AC2"/>
    <w:rsid w:val="00003AEB"/>
    <w:rsid w:val="000078BC"/>
    <w:rsid w:val="00007ECE"/>
    <w:rsid w:val="000121B0"/>
    <w:rsid w:val="000134CC"/>
    <w:rsid w:val="00016418"/>
    <w:rsid w:val="00023E87"/>
    <w:rsid w:val="00024F9B"/>
    <w:rsid w:val="000308D4"/>
    <w:rsid w:val="00031DC9"/>
    <w:rsid w:val="00043245"/>
    <w:rsid w:val="00052FF4"/>
    <w:rsid w:val="00064352"/>
    <w:rsid w:val="00066978"/>
    <w:rsid w:val="000829F0"/>
    <w:rsid w:val="00090D90"/>
    <w:rsid w:val="00092501"/>
    <w:rsid w:val="00094B2F"/>
    <w:rsid w:val="00096711"/>
    <w:rsid w:val="000968C1"/>
    <w:rsid w:val="000A126F"/>
    <w:rsid w:val="000A146E"/>
    <w:rsid w:val="000A5536"/>
    <w:rsid w:val="000B017F"/>
    <w:rsid w:val="000B599B"/>
    <w:rsid w:val="000B7D96"/>
    <w:rsid w:val="000C0119"/>
    <w:rsid w:val="000C03EE"/>
    <w:rsid w:val="000C0B78"/>
    <w:rsid w:val="000C2A11"/>
    <w:rsid w:val="000C35B0"/>
    <w:rsid w:val="000C656D"/>
    <w:rsid w:val="000D6D9C"/>
    <w:rsid w:val="000D7614"/>
    <w:rsid w:val="000F23F3"/>
    <w:rsid w:val="000F2E34"/>
    <w:rsid w:val="00106A96"/>
    <w:rsid w:val="00107760"/>
    <w:rsid w:val="00114C7D"/>
    <w:rsid w:val="0011699C"/>
    <w:rsid w:val="00122622"/>
    <w:rsid w:val="0012303A"/>
    <w:rsid w:val="00123EC0"/>
    <w:rsid w:val="00124B56"/>
    <w:rsid w:val="00126292"/>
    <w:rsid w:val="00132552"/>
    <w:rsid w:val="0013530A"/>
    <w:rsid w:val="0013612C"/>
    <w:rsid w:val="00136A69"/>
    <w:rsid w:val="00144ED5"/>
    <w:rsid w:val="0014549D"/>
    <w:rsid w:val="00145891"/>
    <w:rsid w:val="0015472D"/>
    <w:rsid w:val="0015763B"/>
    <w:rsid w:val="001602DF"/>
    <w:rsid w:val="00160579"/>
    <w:rsid w:val="00163432"/>
    <w:rsid w:val="001649DC"/>
    <w:rsid w:val="00165038"/>
    <w:rsid w:val="001669FF"/>
    <w:rsid w:val="00170DD0"/>
    <w:rsid w:val="00171470"/>
    <w:rsid w:val="001737DA"/>
    <w:rsid w:val="001744D2"/>
    <w:rsid w:val="001854AB"/>
    <w:rsid w:val="00193B41"/>
    <w:rsid w:val="001957DC"/>
    <w:rsid w:val="00197C6B"/>
    <w:rsid w:val="001A2C73"/>
    <w:rsid w:val="001A5801"/>
    <w:rsid w:val="001C1E68"/>
    <w:rsid w:val="001C209F"/>
    <w:rsid w:val="001D055D"/>
    <w:rsid w:val="001D242B"/>
    <w:rsid w:val="001D4CA5"/>
    <w:rsid w:val="001D757B"/>
    <w:rsid w:val="001E101F"/>
    <w:rsid w:val="001E21A6"/>
    <w:rsid w:val="001E2946"/>
    <w:rsid w:val="001F2CDE"/>
    <w:rsid w:val="001F41E7"/>
    <w:rsid w:val="001F4683"/>
    <w:rsid w:val="001F4D9E"/>
    <w:rsid w:val="001F553B"/>
    <w:rsid w:val="002041C6"/>
    <w:rsid w:val="00205F81"/>
    <w:rsid w:val="00206941"/>
    <w:rsid w:val="0021182F"/>
    <w:rsid w:val="00212FEB"/>
    <w:rsid w:val="00213E87"/>
    <w:rsid w:val="00215D1B"/>
    <w:rsid w:val="002179BB"/>
    <w:rsid w:val="00220D29"/>
    <w:rsid w:val="00233E28"/>
    <w:rsid w:val="0023529C"/>
    <w:rsid w:val="00243F99"/>
    <w:rsid w:val="00246DB5"/>
    <w:rsid w:val="00251130"/>
    <w:rsid w:val="00255B0E"/>
    <w:rsid w:val="0025606E"/>
    <w:rsid w:val="002637DC"/>
    <w:rsid w:val="00266F61"/>
    <w:rsid w:val="0027001F"/>
    <w:rsid w:val="00270043"/>
    <w:rsid w:val="00274F02"/>
    <w:rsid w:val="00275A4A"/>
    <w:rsid w:val="002801C6"/>
    <w:rsid w:val="002805D4"/>
    <w:rsid w:val="00280FB9"/>
    <w:rsid w:val="00284411"/>
    <w:rsid w:val="00290B50"/>
    <w:rsid w:val="002A02A4"/>
    <w:rsid w:val="002A3031"/>
    <w:rsid w:val="002A340B"/>
    <w:rsid w:val="002A5950"/>
    <w:rsid w:val="002A6952"/>
    <w:rsid w:val="002A7665"/>
    <w:rsid w:val="002B14C9"/>
    <w:rsid w:val="002B2B6B"/>
    <w:rsid w:val="002C126A"/>
    <w:rsid w:val="002C4A03"/>
    <w:rsid w:val="002C4CB0"/>
    <w:rsid w:val="002C690B"/>
    <w:rsid w:val="002D33CD"/>
    <w:rsid w:val="002E50CF"/>
    <w:rsid w:val="002E77D1"/>
    <w:rsid w:val="002E7F0D"/>
    <w:rsid w:val="002F1156"/>
    <w:rsid w:val="002F283A"/>
    <w:rsid w:val="002F3EFE"/>
    <w:rsid w:val="002F5953"/>
    <w:rsid w:val="0030509D"/>
    <w:rsid w:val="00310168"/>
    <w:rsid w:val="00310C19"/>
    <w:rsid w:val="00312685"/>
    <w:rsid w:val="00314A5F"/>
    <w:rsid w:val="00320895"/>
    <w:rsid w:val="00330077"/>
    <w:rsid w:val="0033656B"/>
    <w:rsid w:val="0033662C"/>
    <w:rsid w:val="003369D5"/>
    <w:rsid w:val="0034386B"/>
    <w:rsid w:val="00346FFE"/>
    <w:rsid w:val="00351A14"/>
    <w:rsid w:val="00356D08"/>
    <w:rsid w:val="00360431"/>
    <w:rsid w:val="00360501"/>
    <w:rsid w:val="00360945"/>
    <w:rsid w:val="00365AE0"/>
    <w:rsid w:val="0036774E"/>
    <w:rsid w:val="00373BFB"/>
    <w:rsid w:val="00375FFA"/>
    <w:rsid w:val="003815EF"/>
    <w:rsid w:val="00382573"/>
    <w:rsid w:val="003879DF"/>
    <w:rsid w:val="00390F98"/>
    <w:rsid w:val="00391A97"/>
    <w:rsid w:val="0039614C"/>
    <w:rsid w:val="00396D76"/>
    <w:rsid w:val="003A1AF5"/>
    <w:rsid w:val="003A3AA5"/>
    <w:rsid w:val="003A77A2"/>
    <w:rsid w:val="003B0303"/>
    <w:rsid w:val="003B454A"/>
    <w:rsid w:val="003C1A52"/>
    <w:rsid w:val="003C3941"/>
    <w:rsid w:val="003C3FC0"/>
    <w:rsid w:val="003C4D74"/>
    <w:rsid w:val="003D13A8"/>
    <w:rsid w:val="003D210A"/>
    <w:rsid w:val="003D3325"/>
    <w:rsid w:val="003D4331"/>
    <w:rsid w:val="003D44DC"/>
    <w:rsid w:val="003D5385"/>
    <w:rsid w:val="003E3377"/>
    <w:rsid w:val="003E51E4"/>
    <w:rsid w:val="003E62C0"/>
    <w:rsid w:val="003F122C"/>
    <w:rsid w:val="003F19EC"/>
    <w:rsid w:val="00401189"/>
    <w:rsid w:val="00401851"/>
    <w:rsid w:val="00405A55"/>
    <w:rsid w:val="0041185F"/>
    <w:rsid w:val="004160BF"/>
    <w:rsid w:val="00417B11"/>
    <w:rsid w:val="00422D8B"/>
    <w:rsid w:val="0042475D"/>
    <w:rsid w:val="00427179"/>
    <w:rsid w:val="00432267"/>
    <w:rsid w:val="00435C09"/>
    <w:rsid w:val="00441756"/>
    <w:rsid w:val="00442C6B"/>
    <w:rsid w:val="00452ED1"/>
    <w:rsid w:val="0045520B"/>
    <w:rsid w:val="00455DEA"/>
    <w:rsid w:val="004600E3"/>
    <w:rsid w:val="004658BE"/>
    <w:rsid w:val="00465B26"/>
    <w:rsid w:val="00466449"/>
    <w:rsid w:val="00466DEB"/>
    <w:rsid w:val="00466E3B"/>
    <w:rsid w:val="00470009"/>
    <w:rsid w:val="00471235"/>
    <w:rsid w:val="0047708F"/>
    <w:rsid w:val="00480C5E"/>
    <w:rsid w:val="00482220"/>
    <w:rsid w:val="004841C9"/>
    <w:rsid w:val="00484F78"/>
    <w:rsid w:val="004863CF"/>
    <w:rsid w:val="004A0A50"/>
    <w:rsid w:val="004B5AAB"/>
    <w:rsid w:val="004C62BF"/>
    <w:rsid w:val="004D1571"/>
    <w:rsid w:val="004D52B0"/>
    <w:rsid w:val="004D7702"/>
    <w:rsid w:val="004E3E9B"/>
    <w:rsid w:val="004E4B51"/>
    <w:rsid w:val="004E7392"/>
    <w:rsid w:val="004F3580"/>
    <w:rsid w:val="004F56E0"/>
    <w:rsid w:val="004F5F38"/>
    <w:rsid w:val="004F6B31"/>
    <w:rsid w:val="004F71AC"/>
    <w:rsid w:val="005014CA"/>
    <w:rsid w:val="00510055"/>
    <w:rsid w:val="00510D98"/>
    <w:rsid w:val="005152D2"/>
    <w:rsid w:val="00521F30"/>
    <w:rsid w:val="0052663C"/>
    <w:rsid w:val="005268DC"/>
    <w:rsid w:val="0052760B"/>
    <w:rsid w:val="0053545E"/>
    <w:rsid w:val="00537107"/>
    <w:rsid w:val="00537CAD"/>
    <w:rsid w:val="00540142"/>
    <w:rsid w:val="00540389"/>
    <w:rsid w:val="005473D7"/>
    <w:rsid w:val="00555A12"/>
    <w:rsid w:val="005578E7"/>
    <w:rsid w:val="005628CE"/>
    <w:rsid w:val="005632C3"/>
    <w:rsid w:val="00573DAD"/>
    <w:rsid w:val="005749C4"/>
    <w:rsid w:val="00581F54"/>
    <w:rsid w:val="005938B0"/>
    <w:rsid w:val="00595606"/>
    <w:rsid w:val="0059646F"/>
    <w:rsid w:val="005A0F3F"/>
    <w:rsid w:val="005B1CBB"/>
    <w:rsid w:val="005B4B46"/>
    <w:rsid w:val="005B607F"/>
    <w:rsid w:val="005C0233"/>
    <w:rsid w:val="005C1731"/>
    <w:rsid w:val="005C5FCD"/>
    <w:rsid w:val="005D27D4"/>
    <w:rsid w:val="005D40AB"/>
    <w:rsid w:val="005D5D53"/>
    <w:rsid w:val="005D746B"/>
    <w:rsid w:val="005E4EDD"/>
    <w:rsid w:val="005F0467"/>
    <w:rsid w:val="006002EE"/>
    <w:rsid w:val="00601E0F"/>
    <w:rsid w:val="006020B1"/>
    <w:rsid w:val="006053F9"/>
    <w:rsid w:val="00610E5D"/>
    <w:rsid w:val="006117B9"/>
    <w:rsid w:val="00615E8B"/>
    <w:rsid w:val="00617CFC"/>
    <w:rsid w:val="00641437"/>
    <w:rsid w:val="006447B1"/>
    <w:rsid w:val="00644A26"/>
    <w:rsid w:val="00645E3A"/>
    <w:rsid w:val="00650E20"/>
    <w:rsid w:val="0065590C"/>
    <w:rsid w:val="00655D27"/>
    <w:rsid w:val="00656759"/>
    <w:rsid w:val="006602F1"/>
    <w:rsid w:val="00662E47"/>
    <w:rsid w:val="0067213A"/>
    <w:rsid w:val="00673516"/>
    <w:rsid w:val="00675934"/>
    <w:rsid w:val="00685ABC"/>
    <w:rsid w:val="0068622F"/>
    <w:rsid w:val="00686ECE"/>
    <w:rsid w:val="00693899"/>
    <w:rsid w:val="006A1378"/>
    <w:rsid w:val="006B42EB"/>
    <w:rsid w:val="006C42C0"/>
    <w:rsid w:val="006C56B5"/>
    <w:rsid w:val="006D3D21"/>
    <w:rsid w:val="006E6DAD"/>
    <w:rsid w:val="006F0970"/>
    <w:rsid w:val="006F1D4C"/>
    <w:rsid w:val="006F4639"/>
    <w:rsid w:val="006F4E81"/>
    <w:rsid w:val="006F7271"/>
    <w:rsid w:val="007041E5"/>
    <w:rsid w:val="0070460B"/>
    <w:rsid w:val="0070583F"/>
    <w:rsid w:val="00713D2E"/>
    <w:rsid w:val="0071507D"/>
    <w:rsid w:val="00717598"/>
    <w:rsid w:val="00717BAE"/>
    <w:rsid w:val="00717C7A"/>
    <w:rsid w:val="00730077"/>
    <w:rsid w:val="00731686"/>
    <w:rsid w:val="00733BB2"/>
    <w:rsid w:val="007416AC"/>
    <w:rsid w:val="00744618"/>
    <w:rsid w:val="00747763"/>
    <w:rsid w:val="007501B3"/>
    <w:rsid w:val="00751F0A"/>
    <w:rsid w:val="00760206"/>
    <w:rsid w:val="007626D9"/>
    <w:rsid w:val="0076474E"/>
    <w:rsid w:val="00764769"/>
    <w:rsid w:val="00766AF4"/>
    <w:rsid w:val="00766B02"/>
    <w:rsid w:val="00771F7F"/>
    <w:rsid w:val="007723A7"/>
    <w:rsid w:val="0077310A"/>
    <w:rsid w:val="00773824"/>
    <w:rsid w:val="00774CA1"/>
    <w:rsid w:val="00776A0F"/>
    <w:rsid w:val="00782335"/>
    <w:rsid w:val="00783140"/>
    <w:rsid w:val="00792776"/>
    <w:rsid w:val="007B641A"/>
    <w:rsid w:val="007D76F9"/>
    <w:rsid w:val="007E464F"/>
    <w:rsid w:val="007E4FE2"/>
    <w:rsid w:val="007F1E32"/>
    <w:rsid w:val="007F5010"/>
    <w:rsid w:val="007F6A72"/>
    <w:rsid w:val="0080284B"/>
    <w:rsid w:val="008028C6"/>
    <w:rsid w:val="00807779"/>
    <w:rsid w:val="00807BCF"/>
    <w:rsid w:val="00811DC6"/>
    <w:rsid w:val="00813A40"/>
    <w:rsid w:val="00813AC1"/>
    <w:rsid w:val="00814B1B"/>
    <w:rsid w:val="00814E67"/>
    <w:rsid w:val="00816F45"/>
    <w:rsid w:val="0082670A"/>
    <w:rsid w:val="00830202"/>
    <w:rsid w:val="00832740"/>
    <w:rsid w:val="0084010D"/>
    <w:rsid w:val="00843477"/>
    <w:rsid w:val="00847324"/>
    <w:rsid w:val="00853D9E"/>
    <w:rsid w:val="008552F1"/>
    <w:rsid w:val="00862256"/>
    <w:rsid w:val="008654FB"/>
    <w:rsid w:val="008678FD"/>
    <w:rsid w:val="008679D3"/>
    <w:rsid w:val="00870663"/>
    <w:rsid w:val="00872B6C"/>
    <w:rsid w:val="0087336E"/>
    <w:rsid w:val="008809EA"/>
    <w:rsid w:val="00881946"/>
    <w:rsid w:val="0088302C"/>
    <w:rsid w:val="008877E3"/>
    <w:rsid w:val="00890622"/>
    <w:rsid w:val="00892409"/>
    <w:rsid w:val="008937A8"/>
    <w:rsid w:val="00896B1B"/>
    <w:rsid w:val="008A295D"/>
    <w:rsid w:val="008B480A"/>
    <w:rsid w:val="008B609E"/>
    <w:rsid w:val="008C0257"/>
    <w:rsid w:val="008C1C25"/>
    <w:rsid w:val="008C224A"/>
    <w:rsid w:val="008C2F8C"/>
    <w:rsid w:val="008C479C"/>
    <w:rsid w:val="008C493E"/>
    <w:rsid w:val="008C7B0B"/>
    <w:rsid w:val="008D14A9"/>
    <w:rsid w:val="008D76B2"/>
    <w:rsid w:val="008E0959"/>
    <w:rsid w:val="008E5408"/>
    <w:rsid w:val="008E5B7B"/>
    <w:rsid w:val="008E5BE7"/>
    <w:rsid w:val="008E650C"/>
    <w:rsid w:val="008E7F98"/>
    <w:rsid w:val="008F2AC2"/>
    <w:rsid w:val="008F2BCF"/>
    <w:rsid w:val="008F6678"/>
    <w:rsid w:val="00900D9A"/>
    <w:rsid w:val="00903ED8"/>
    <w:rsid w:val="00906395"/>
    <w:rsid w:val="00910018"/>
    <w:rsid w:val="00910C6C"/>
    <w:rsid w:val="00912833"/>
    <w:rsid w:val="00916967"/>
    <w:rsid w:val="00920031"/>
    <w:rsid w:val="0092093C"/>
    <w:rsid w:val="00920E14"/>
    <w:rsid w:val="00925EE6"/>
    <w:rsid w:val="009261CF"/>
    <w:rsid w:val="00931A5E"/>
    <w:rsid w:val="00937093"/>
    <w:rsid w:val="00942A18"/>
    <w:rsid w:val="00947601"/>
    <w:rsid w:val="00953BFD"/>
    <w:rsid w:val="00954AD0"/>
    <w:rsid w:val="00962458"/>
    <w:rsid w:val="00962E51"/>
    <w:rsid w:val="009654E0"/>
    <w:rsid w:val="0096704B"/>
    <w:rsid w:val="00967129"/>
    <w:rsid w:val="00971F63"/>
    <w:rsid w:val="00976E29"/>
    <w:rsid w:val="00977A6C"/>
    <w:rsid w:val="00983256"/>
    <w:rsid w:val="009848E7"/>
    <w:rsid w:val="009854A5"/>
    <w:rsid w:val="00986BA5"/>
    <w:rsid w:val="00995566"/>
    <w:rsid w:val="009A5EC3"/>
    <w:rsid w:val="009B286A"/>
    <w:rsid w:val="009B3EC0"/>
    <w:rsid w:val="009C05C5"/>
    <w:rsid w:val="009C1C57"/>
    <w:rsid w:val="009C51CB"/>
    <w:rsid w:val="009C5C27"/>
    <w:rsid w:val="009C7423"/>
    <w:rsid w:val="009D0955"/>
    <w:rsid w:val="009D4FB1"/>
    <w:rsid w:val="009D5561"/>
    <w:rsid w:val="009D5D55"/>
    <w:rsid w:val="009E1FDA"/>
    <w:rsid w:val="009E3952"/>
    <w:rsid w:val="009F043F"/>
    <w:rsid w:val="009F0F49"/>
    <w:rsid w:val="009F13FE"/>
    <w:rsid w:val="009F3978"/>
    <w:rsid w:val="009F3E07"/>
    <w:rsid w:val="009F5AF1"/>
    <w:rsid w:val="009F649C"/>
    <w:rsid w:val="00A013D7"/>
    <w:rsid w:val="00A026AF"/>
    <w:rsid w:val="00A03233"/>
    <w:rsid w:val="00A06DA5"/>
    <w:rsid w:val="00A15E30"/>
    <w:rsid w:val="00A17B13"/>
    <w:rsid w:val="00A221F5"/>
    <w:rsid w:val="00A23616"/>
    <w:rsid w:val="00A2458B"/>
    <w:rsid w:val="00A32FDA"/>
    <w:rsid w:val="00A33A02"/>
    <w:rsid w:val="00A359B9"/>
    <w:rsid w:val="00A46E8F"/>
    <w:rsid w:val="00A61216"/>
    <w:rsid w:val="00A7197E"/>
    <w:rsid w:val="00A734CD"/>
    <w:rsid w:val="00A81AC4"/>
    <w:rsid w:val="00A81EFE"/>
    <w:rsid w:val="00A82D0D"/>
    <w:rsid w:val="00A85822"/>
    <w:rsid w:val="00A9121A"/>
    <w:rsid w:val="00A91552"/>
    <w:rsid w:val="00A91A74"/>
    <w:rsid w:val="00A93049"/>
    <w:rsid w:val="00A96288"/>
    <w:rsid w:val="00A973FC"/>
    <w:rsid w:val="00AA4D9C"/>
    <w:rsid w:val="00AA6424"/>
    <w:rsid w:val="00AA73FB"/>
    <w:rsid w:val="00AB0274"/>
    <w:rsid w:val="00AB36A9"/>
    <w:rsid w:val="00AB4503"/>
    <w:rsid w:val="00AC0B78"/>
    <w:rsid w:val="00AC2CF0"/>
    <w:rsid w:val="00AC4360"/>
    <w:rsid w:val="00AC5D88"/>
    <w:rsid w:val="00AC6753"/>
    <w:rsid w:val="00AC6E12"/>
    <w:rsid w:val="00AC73E3"/>
    <w:rsid w:val="00AC7FD3"/>
    <w:rsid w:val="00AD1065"/>
    <w:rsid w:val="00AD3286"/>
    <w:rsid w:val="00AD4F41"/>
    <w:rsid w:val="00AD7BFD"/>
    <w:rsid w:val="00AE1F6B"/>
    <w:rsid w:val="00AE3237"/>
    <w:rsid w:val="00AE3459"/>
    <w:rsid w:val="00AE4A17"/>
    <w:rsid w:val="00AF3646"/>
    <w:rsid w:val="00AF6095"/>
    <w:rsid w:val="00AF7B8F"/>
    <w:rsid w:val="00B1019D"/>
    <w:rsid w:val="00B11C4C"/>
    <w:rsid w:val="00B21C60"/>
    <w:rsid w:val="00B24CE1"/>
    <w:rsid w:val="00B26E7E"/>
    <w:rsid w:val="00B30E23"/>
    <w:rsid w:val="00B36B8A"/>
    <w:rsid w:val="00B447C7"/>
    <w:rsid w:val="00B50BD2"/>
    <w:rsid w:val="00B54645"/>
    <w:rsid w:val="00B54704"/>
    <w:rsid w:val="00B67EEC"/>
    <w:rsid w:val="00B72C73"/>
    <w:rsid w:val="00B734EC"/>
    <w:rsid w:val="00B74F74"/>
    <w:rsid w:val="00B7777C"/>
    <w:rsid w:val="00B84453"/>
    <w:rsid w:val="00B84BA4"/>
    <w:rsid w:val="00B912E2"/>
    <w:rsid w:val="00B97FBF"/>
    <w:rsid w:val="00BA3272"/>
    <w:rsid w:val="00BA3663"/>
    <w:rsid w:val="00BA5995"/>
    <w:rsid w:val="00BA603D"/>
    <w:rsid w:val="00BB0A3A"/>
    <w:rsid w:val="00BB17B3"/>
    <w:rsid w:val="00BB1EF4"/>
    <w:rsid w:val="00BB294F"/>
    <w:rsid w:val="00BB3696"/>
    <w:rsid w:val="00BB5A76"/>
    <w:rsid w:val="00BB7074"/>
    <w:rsid w:val="00BD17AE"/>
    <w:rsid w:val="00BD5E53"/>
    <w:rsid w:val="00BE25ED"/>
    <w:rsid w:val="00BE31C8"/>
    <w:rsid w:val="00BE3B0B"/>
    <w:rsid w:val="00BE44B1"/>
    <w:rsid w:val="00BE5B12"/>
    <w:rsid w:val="00BF1CC9"/>
    <w:rsid w:val="00C02CA8"/>
    <w:rsid w:val="00C04E8D"/>
    <w:rsid w:val="00C07191"/>
    <w:rsid w:val="00C120C7"/>
    <w:rsid w:val="00C17F79"/>
    <w:rsid w:val="00C2162B"/>
    <w:rsid w:val="00C21861"/>
    <w:rsid w:val="00C23B8B"/>
    <w:rsid w:val="00C26EC4"/>
    <w:rsid w:val="00C344E3"/>
    <w:rsid w:val="00C37214"/>
    <w:rsid w:val="00C416C0"/>
    <w:rsid w:val="00C43814"/>
    <w:rsid w:val="00C54B7D"/>
    <w:rsid w:val="00C5695E"/>
    <w:rsid w:val="00C57AA9"/>
    <w:rsid w:val="00C57C0B"/>
    <w:rsid w:val="00C60354"/>
    <w:rsid w:val="00C6157E"/>
    <w:rsid w:val="00C632EF"/>
    <w:rsid w:val="00C72C23"/>
    <w:rsid w:val="00C75C95"/>
    <w:rsid w:val="00C80CE4"/>
    <w:rsid w:val="00C81746"/>
    <w:rsid w:val="00C823DA"/>
    <w:rsid w:val="00C829CE"/>
    <w:rsid w:val="00C82A2B"/>
    <w:rsid w:val="00C85B34"/>
    <w:rsid w:val="00C87E85"/>
    <w:rsid w:val="00C91B1F"/>
    <w:rsid w:val="00C94870"/>
    <w:rsid w:val="00C96F44"/>
    <w:rsid w:val="00CA01FE"/>
    <w:rsid w:val="00CA0DEC"/>
    <w:rsid w:val="00CA33AC"/>
    <w:rsid w:val="00CA38BE"/>
    <w:rsid w:val="00CA38FE"/>
    <w:rsid w:val="00CA4E7E"/>
    <w:rsid w:val="00CB1148"/>
    <w:rsid w:val="00CC6E5F"/>
    <w:rsid w:val="00CD4E4C"/>
    <w:rsid w:val="00CD522D"/>
    <w:rsid w:val="00CD7AF1"/>
    <w:rsid w:val="00CE49E6"/>
    <w:rsid w:val="00CE54A7"/>
    <w:rsid w:val="00CF40A2"/>
    <w:rsid w:val="00CF414A"/>
    <w:rsid w:val="00CF4774"/>
    <w:rsid w:val="00CF69D4"/>
    <w:rsid w:val="00D00906"/>
    <w:rsid w:val="00D00E18"/>
    <w:rsid w:val="00D02FD3"/>
    <w:rsid w:val="00D0441A"/>
    <w:rsid w:val="00D10850"/>
    <w:rsid w:val="00D111DE"/>
    <w:rsid w:val="00D139C9"/>
    <w:rsid w:val="00D14F94"/>
    <w:rsid w:val="00D21369"/>
    <w:rsid w:val="00D218C2"/>
    <w:rsid w:val="00D2236E"/>
    <w:rsid w:val="00D24A1F"/>
    <w:rsid w:val="00D25270"/>
    <w:rsid w:val="00D26A44"/>
    <w:rsid w:val="00D35F2B"/>
    <w:rsid w:val="00D36941"/>
    <w:rsid w:val="00D4003B"/>
    <w:rsid w:val="00D444C1"/>
    <w:rsid w:val="00D5127E"/>
    <w:rsid w:val="00D6369A"/>
    <w:rsid w:val="00D658DF"/>
    <w:rsid w:val="00D72415"/>
    <w:rsid w:val="00D72A60"/>
    <w:rsid w:val="00D7553F"/>
    <w:rsid w:val="00D759A1"/>
    <w:rsid w:val="00D86A12"/>
    <w:rsid w:val="00D92A87"/>
    <w:rsid w:val="00D94E6E"/>
    <w:rsid w:val="00D9551F"/>
    <w:rsid w:val="00DA4A4B"/>
    <w:rsid w:val="00DB174D"/>
    <w:rsid w:val="00DB514C"/>
    <w:rsid w:val="00DB6417"/>
    <w:rsid w:val="00DB64B1"/>
    <w:rsid w:val="00DB72BD"/>
    <w:rsid w:val="00DC12DE"/>
    <w:rsid w:val="00DC2F33"/>
    <w:rsid w:val="00DD14BB"/>
    <w:rsid w:val="00DD308B"/>
    <w:rsid w:val="00DD3BAE"/>
    <w:rsid w:val="00DD6EE0"/>
    <w:rsid w:val="00DD736F"/>
    <w:rsid w:val="00DE41E9"/>
    <w:rsid w:val="00DE47F4"/>
    <w:rsid w:val="00DE6E89"/>
    <w:rsid w:val="00DF1FC2"/>
    <w:rsid w:val="00DF71CD"/>
    <w:rsid w:val="00E003C0"/>
    <w:rsid w:val="00E10174"/>
    <w:rsid w:val="00E20C3E"/>
    <w:rsid w:val="00E35E16"/>
    <w:rsid w:val="00E364B9"/>
    <w:rsid w:val="00E527F5"/>
    <w:rsid w:val="00E571C3"/>
    <w:rsid w:val="00E626BD"/>
    <w:rsid w:val="00E64927"/>
    <w:rsid w:val="00E7048D"/>
    <w:rsid w:val="00E72340"/>
    <w:rsid w:val="00E73A06"/>
    <w:rsid w:val="00E8097F"/>
    <w:rsid w:val="00EA00BC"/>
    <w:rsid w:val="00EA3B64"/>
    <w:rsid w:val="00EA795A"/>
    <w:rsid w:val="00EB1A36"/>
    <w:rsid w:val="00EB42D7"/>
    <w:rsid w:val="00EB4987"/>
    <w:rsid w:val="00EB4F1F"/>
    <w:rsid w:val="00EB6BFA"/>
    <w:rsid w:val="00EC2E93"/>
    <w:rsid w:val="00EC7307"/>
    <w:rsid w:val="00ED068F"/>
    <w:rsid w:val="00ED318B"/>
    <w:rsid w:val="00ED7691"/>
    <w:rsid w:val="00ED7D51"/>
    <w:rsid w:val="00EE031C"/>
    <w:rsid w:val="00EE0977"/>
    <w:rsid w:val="00EE6C4E"/>
    <w:rsid w:val="00EF024F"/>
    <w:rsid w:val="00EF5825"/>
    <w:rsid w:val="00EF6E14"/>
    <w:rsid w:val="00EF7C96"/>
    <w:rsid w:val="00F000D7"/>
    <w:rsid w:val="00F01182"/>
    <w:rsid w:val="00F06ED4"/>
    <w:rsid w:val="00F0778D"/>
    <w:rsid w:val="00F1764E"/>
    <w:rsid w:val="00F207F5"/>
    <w:rsid w:val="00F22A76"/>
    <w:rsid w:val="00F25119"/>
    <w:rsid w:val="00F316CE"/>
    <w:rsid w:val="00F32745"/>
    <w:rsid w:val="00F33E1A"/>
    <w:rsid w:val="00F41298"/>
    <w:rsid w:val="00F418E8"/>
    <w:rsid w:val="00F46998"/>
    <w:rsid w:val="00F51A19"/>
    <w:rsid w:val="00F61F6D"/>
    <w:rsid w:val="00F65954"/>
    <w:rsid w:val="00F66FD0"/>
    <w:rsid w:val="00F70AB5"/>
    <w:rsid w:val="00F70ADE"/>
    <w:rsid w:val="00F719EA"/>
    <w:rsid w:val="00F72D25"/>
    <w:rsid w:val="00F738BD"/>
    <w:rsid w:val="00F751A1"/>
    <w:rsid w:val="00F755E7"/>
    <w:rsid w:val="00F7637C"/>
    <w:rsid w:val="00F77B53"/>
    <w:rsid w:val="00F80140"/>
    <w:rsid w:val="00F80D48"/>
    <w:rsid w:val="00F81681"/>
    <w:rsid w:val="00F93AF2"/>
    <w:rsid w:val="00F96466"/>
    <w:rsid w:val="00F971C2"/>
    <w:rsid w:val="00FA2EBE"/>
    <w:rsid w:val="00FB7ECA"/>
    <w:rsid w:val="00FC00B0"/>
    <w:rsid w:val="00FC36F8"/>
    <w:rsid w:val="00FD032B"/>
    <w:rsid w:val="00FD2A31"/>
    <w:rsid w:val="00FD506B"/>
    <w:rsid w:val="00FD5475"/>
    <w:rsid w:val="00FE0753"/>
    <w:rsid w:val="00FE3224"/>
    <w:rsid w:val="00FE3AA6"/>
    <w:rsid w:val="00FE7A09"/>
    <w:rsid w:val="00FE7EC1"/>
    <w:rsid w:val="00FF34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rsid w:val="001A5801"/>
    <w:rPr>
      <w:sz w:val="24"/>
      <w:szCs w:val="24"/>
    </w:rPr>
  </w:style>
  <w:style w:type="paragraph" w:styleId="Heading1">
    <w:name w:val="heading 1"/>
    <w:basedOn w:val="Normal"/>
    <w:next w:val="Normal"/>
    <w:link w:val="Heading1Char"/>
    <w:qFormat/>
    <w:rsid w:val="001A5801"/>
    <w:pPr>
      <w:keepNext/>
      <w:ind w:left="4320"/>
      <w:jc w:val="both"/>
      <w:outlineLvl w:val="0"/>
    </w:pPr>
    <w:rPr>
      <w:rFonts w:ascii="Arial" w:hAnsi="Arial"/>
      <w:b/>
      <w:bCs/>
      <w:sz w:val="20"/>
      <w:szCs w:val="20"/>
    </w:rPr>
  </w:style>
  <w:style w:type="paragraph" w:styleId="Heading2">
    <w:name w:val="heading 2"/>
    <w:basedOn w:val="Normal"/>
    <w:next w:val="Normal"/>
    <w:link w:val="Heading2Char"/>
    <w:qFormat/>
    <w:rsid w:val="00E72340"/>
    <w:pPr>
      <w:keepNext/>
      <w:outlineLvl w:val="1"/>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A5801"/>
    <w:rPr>
      <w:color w:val="0000FF"/>
      <w:u w:val="single"/>
    </w:rPr>
  </w:style>
  <w:style w:type="paragraph" w:styleId="BodyText">
    <w:name w:val="Body Text"/>
    <w:basedOn w:val="Normal"/>
    <w:link w:val="BodyTextChar"/>
    <w:rsid w:val="001A5801"/>
    <w:rPr>
      <w:rFonts w:ascii="Arial" w:hAnsi="Arial" w:cs="Arial"/>
      <w:sz w:val="20"/>
      <w:szCs w:val="20"/>
    </w:rPr>
  </w:style>
  <w:style w:type="paragraph" w:styleId="Header">
    <w:name w:val="header"/>
    <w:basedOn w:val="Normal"/>
    <w:link w:val="HeaderChar"/>
    <w:rsid w:val="001A5801"/>
    <w:pPr>
      <w:tabs>
        <w:tab w:val="center" w:pos="4320"/>
        <w:tab w:val="right" w:pos="8640"/>
      </w:tabs>
    </w:pPr>
  </w:style>
  <w:style w:type="paragraph" w:styleId="Footer">
    <w:name w:val="footer"/>
    <w:basedOn w:val="Normal"/>
    <w:link w:val="FooterChar"/>
    <w:uiPriority w:val="99"/>
    <w:rsid w:val="001A5801"/>
    <w:pPr>
      <w:tabs>
        <w:tab w:val="center" w:pos="4320"/>
        <w:tab w:val="right" w:pos="8640"/>
      </w:tabs>
    </w:pPr>
  </w:style>
  <w:style w:type="paragraph" w:styleId="BodyTextIndent">
    <w:name w:val="Body Text Indent"/>
    <w:basedOn w:val="Normal"/>
    <w:rsid w:val="001A5801"/>
    <w:pPr>
      <w:ind w:left="1440" w:hanging="1440"/>
    </w:pPr>
    <w:rPr>
      <w:rFonts w:ascii="Arial" w:hAnsi="Arial" w:cs="Arial"/>
      <w:b/>
      <w:bCs/>
      <w:sz w:val="20"/>
      <w:szCs w:val="20"/>
    </w:rPr>
  </w:style>
  <w:style w:type="paragraph" w:styleId="BodyText2">
    <w:name w:val="Body Text 2"/>
    <w:basedOn w:val="Normal"/>
    <w:rsid w:val="001A5801"/>
    <w:pPr>
      <w:jc w:val="both"/>
    </w:pPr>
    <w:rPr>
      <w:rFonts w:ascii="Arial" w:hAnsi="Arial" w:cs="Arial"/>
      <w:sz w:val="20"/>
      <w:szCs w:val="20"/>
    </w:rPr>
  </w:style>
  <w:style w:type="paragraph" w:styleId="BalloonText">
    <w:name w:val="Balloon Text"/>
    <w:basedOn w:val="Normal"/>
    <w:semiHidden/>
    <w:rsid w:val="001A5801"/>
    <w:rPr>
      <w:rFonts w:ascii="Tahoma" w:hAnsi="Tahoma" w:cs="Tahoma"/>
      <w:sz w:val="16"/>
      <w:szCs w:val="16"/>
    </w:rPr>
  </w:style>
  <w:style w:type="paragraph" w:styleId="DocumentMap">
    <w:name w:val="Document Map"/>
    <w:basedOn w:val="Normal"/>
    <w:semiHidden/>
    <w:rsid w:val="001A5801"/>
    <w:pPr>
      <w:shd w:val="clear" w:color="auto" w:fill="000080"/>
    </w:pPr>
    <w:rPr>
      <w:rFonts w:ascii="Tahoma" w:hAnsi="Tahoma" w:cs="Tahoma"/>
      <w:sz w:val="20"/>
      <w:szCs w:val="20"/>
    </w:rPr>
  </w:style>
  <w:style w:type="paragraph" w:styleId="PlainText">
    <w:name w:val="Plain Text"/>
    <w:basedOn w:val="Normal"/>
    <w:link w:val="PlainTextChar"/>
    <w:uiPriority w:val="99"/>
    <w:rsid w:val="00CC6E5F"/>
    <w:pPr>
      <w:spacing w:before="100" w:beforeAutospacing="1" w:after="100" w:afterAutospacing="1"/>
    </w:pPr>
  </w:style>
  <w:style w:type="paragraph" w:styleId="NormalWeb">
    <w:name w:val="Normal (Web)"/>
    <w:basedOn w:val="Normal"/>
    <w:uiPriority w:val="99"/>
    <w:rsid w:val="001854AB"/>
    <w:pPr>
      <w:spacing w:before="100" w:beforeAutospacing="1" w:after="100" w:afterAutospacing="1"/>
    </w:pPr>
  </w:style>
  <w:style w:type="paragraph" w:styleId="ListParagraph">
    <w:name w:val="List Paragraph"/>
    <w:basedOn w:val="Normal"/>
    <w:uiPriority w:val="34"/>
    <w:qFormat/>
    <w:rsid w:val="00396D76"/>
    <w:pPr>
      <w:ind w:left="720"/>
      <w:contextualSpacing/>
    </w:pPr>
  </w:style>
  <w:style w:type="character" w:customStyle="1" w:styleId="PlainTextChar">
    <w:name w:val="Plain Text Char"/>
    <w:link w:val="PlainText"/>
    <w:uiPriority w:val="99"/>
    <w:rsid w:val="003879DF"/>
    <w:rPr>
      <w:sz w:val="24"/>
      <w:szCs w:val="24"/>
    </w:rPr>
  </w:style>
  <w:style w:type="character" w:styleId="CommentReference">
    <w:name w:val="annotation reference"/>
    <w:rsid w:val="00B36B8A"/>
    <w:rPr>
      <w:sz w:val="16"/>
      <w:szCs w:val="16"/>
    </w:rPr>
  </w:style>
  <w:style w:type="paragraph" w:styleId="CommentText">
    <w:name w:val="annotation text"/>
    <w:basedOn w:val="Normal"/>
    <w:link w:val="CommentTextChar"/>
    <w:rsid w:val="00B36B8A"/>
    <w:rPr>
      <w:sz w:val="20"/>
      <w:szCs w:val="20"/>
    </w:rPr>
  </w:style>
  <w:style w:type="character" w:customStyle="1" w:styleId="CommentTextChar">
    <w:name w:val="Comment Text Char"/>
    <w:basedOn w:val="DefaultParagraphFont"/>
    <w:link w:val="CommentText"/>
    <w:rsid w:val="00B36B8A"/>
  </w:style>
  <w:style w:type="paragraph" w:styleId="CommentSubject">
    <w:name w:val="annotation subject"/>
    <w:basedOn w:val="CommentText"/>
    <w:next w:val="CommentText"/>
    <w:link w:val="CommentSubjectChar"/>
    <w:rsid w:val="00B36B8A"/>
    <w:rPr>
      <w:b/>
      <w:bCs/>
    </w:rPr>
  </w:style>
  <w:style w:type="character" w:customStyle="1" w:styleId="CommentSubjectChar">
    <w:name w:val="Comment Subject Char"/>
    <w:link w:val="CommentSubject"/>
    <w:rsid w:val="00B36B8A"/>
    <w:rPr>
      <w:b/>
      <w:bCs/>
    </w:rPr>
  </w:style>
  <w:style w:type="paragraph" w:styleId="FootnoteText">
    <w:name w:val="footnote text"/>
    <w:basedOn w:val="Normal"/>
    <w:link w:val="FootnoteTextChar"/>
    <w:rsid w:val="00967129"/>
    <w:rPr>
      <w:sz w:val="20"/>
      <w:szCs w:val="20"/>
    </w:rPr>
  </w:style>
  <w:style w:type="character" w:customStyle="1" w:styleId="FootnoteTextChar">
    <w:name w:val="Footnote Text Char"/>
    <w:basedOn w:val="DefaultParagraphFont"/>
    <w:link w:val="FootnoteText"/>
    <w:rsid w:val="00967129"/>
  </w:style>
  <w:style w:type="character" w:styleId="FootnoteReference">
    <w:name w:val="footnote reference"/>
    <w:rsid w:val="00967129"/>
    <w:rPr>
      <w:vertAlign w:val="superscript"/>
    </w:rPr>
  </w:style>
  <w:style w:type="character" w:styleId="Strong">
    <w:name w:val="Strong"/>
    <w:uiPriority w:val="22"/>
    <w:qFormat/>
    <w:rsid w:val="00092501"/>
    <w:rPr>
      <w:b/>
      <w:bCs/>
    </w:rPr>
  </w:style>
  <w:style w:type="table" w:styleId="TableGrid">
    <w:name w:val="Table Grid"/>
    <w:basedOn w:val="TableNormal"/>
    <w:rsid w:val="00F33E1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link w:val="Footer"/>
    <w:uiPriority w:val="99"/>
    <w:rsid w:val="00843477"/>
    <w:rPr>
      <w:sz w:val="24"/>
      <w:szCs w:val="24"/>
    </w:rPr>
  </w:style>
  <w:style w:type="paragraph" w:customStyle="1" w:styleId="NormalArial">
    <w:name w:val="Normal + Arial"/>
    <w:aliases w:val="Right:  -2.64 cm"/>
    <w:basedOn w:val="Normal"/>
    <w:uiPriority w:val="99"/>
    <w:rsid w:val="00312685"/>
    <w:pPr>
      <w:overflowPunct w:val="0"/>
      <w:autoSpaceDE w:val="0"/>
      <w:autoSpaceDN w:val="0"/>
      <w:adjustRightInd w:val="0"/>
      <w:ind w:right="-1497"/>
      <w:jc w:val="both"/>
      <w:textAlignment w:val="baseline"/>
    </w:pPr>
    <w:rPr>
      <w:rFonts w:ascii="Arial" w:hAnsi="Arial" w:cs="Arial"/>
      <w:sz w:val="20"/>
    </w:rPr>
  </w:style>
  <w:style w:type="paragraph" w:styleId="TOCHeading">
    <w:name w:val="TOC Heading"/>
    <w:basedOn w:val="Heading1"/>
    <w:next w:val="Normal"/>
    <w:uiPriority w:val="99"/>
    <w:qFormat/>
    <w:rsid w:val="00312685"/>
    <w:pPr>
      <w:keepLines/>
      <w:spacing w:before="480" w:line="276" w:lineRule="auto"/>
      <w:ind w:left="0"/>
      <w:jc w:val="left"/>
      <w:outlineLvl w:val="9"/>
    </w:pPr>
    <w:rPr>
      <w:rFonts w:ascii="Cambria" w:hAnsi="Cambria"/>
      <w:color w:val="365F91"/>
      <w:sz w:val="28"/>
      <w:szCs w:val="28"/>
    </w:rPr>
  </w:style>
  <w:style w:type="paragraph" w:styleId="TOC2">
    <w:name w:val="toc 2"/>
    <w:basedOn w:val="Normal"/>
    <w:next w:val="Normal"/>
    <w:autoRedefine/>
    <w:uiPriority w:val="39"/>
    <w:rsid w:val="00312685"/>
    <w:pPr>
      <w:tabs>
        <w:tab w:val="left" w:pos="660"/>
        <w:tab w:val="right" w:leader="dot" w:pos="9350"/>
      </w:tabs>
      <w:spacing w:after="240"/>
      <w:ind w:left="200"/>
    </w:pPr>
    <w:rPr>
      <w:b/>
      <w:noProof/>
      <w:sz w:val="20"/>
      <w:szCs w:val="20"/>
    </w:rPr>
  </w:style>
  <w:style w:type="character" w:customStyle="1" w:styleId="Heading1Char">
    <w:name w:val="Heading 1 Char"/>
    <w:link w:val="Heading1"/>
    <w:rsid w:val="00F755E7"/>
    <w:rPr>
      <w:rFonts w:ascii="Arial" w:hAnsi="Arial" w:cs="Arial"/>
      <w:b/>
      <w:bCs/>
    </w:rPr>
  </w:style>
  <w:style w:type="character" w:customStyle="1" w:styleId="Heading2Char">
    <w:name w:val="Heading 2 Char"/>
    <w:link w:val="Heading2"/>
    <w:rsid w:val="00F755E7"/>
    <w:rPr>
      <w:b/>
      <w:bCs/>
      <w:sz w:val="26"/>
      <w:szCs w:val="24"/>
    </w:rPr>
  </w:style>
  <w:style w:type="paragraph" w:styleId="TOC1">
    <w:name w:val="toc 1"/>
    <w:basedOn w:val="Normal"/>
    <w:next w:val="Normal"/>
    <w:autoRedefine/>
    <w:uiPriority w:val="39"/>
    <w:rsid w:val="00DE6E89"/>
  </w:style>
  <w:style w:type="paragraph" w:styleId="EndnoteText">
    <w:name w:val="endnote text"/>
    <w:basedOn w:val="Normal"/>
    <w:link w:val="EndnoteTextChar"/>
    <w:uiPriority w:val="99"/>
    <w:semiHidden/>
    <w:unhideWhenUsed/>
    <w:rsid w:val="00090D90"/>
    <w:rPr>
      <w:sz w:val="20"/>
      <w:szCs w:val="20"/>
    </w:rPr>
  </w:style>
  <w:style w:type="character" w:customStyle="1" w:styleId="EndnoteTextChar">
    <w:name w:val="Endnote Text Char"/>
    <w:basedOn w:val="DefaultParagraphFont"/>
    <w:link w:val="EndnoteText"/>
    <w:uiPriority w:val="99"/>
    <w:semiHidden/>
    <w:rsid w:val="00090D90"/>
  </w:style>
  <w:style w:type="character" w:styleId="EndnoteReference">
    <w:name w:val="endnote reference"/>
    <w:uiPriority w:val="99"/>
    <w:semiHidden/>
    <w:unhideWhenUsed/>
    <w:rsid w:val="00090D90"/>
    <w:rPr>
      <w:vertAlign w:val="superscript"/>
    </w:rPr>
  </w:style>
  <w:style w:type="character" w:styleId="FollowedHyperlink">
    <w:name w:val="FollowedHyperlink"/>
    <w:uiPriority w:val="99"/>
    <w:semiHidden/>
    <w:unhideWhenUsed/>
    <w:rsid w:val="00976E29"/>
    <w:rPr>
      <w:color w:val="800080"/>
      <w:u w:val="single"/>
    </w:rPr>
  </w:style>
  <w:style w:type="paragraph" w:customStyle="1" w:styleId="H1">
    <w:name w:val="H1"/>
    <w:rsid w:val="000134CC"/>
    <w:pPr>
      <w:spacing w:before="60" w:after="60"/>
    </w:pPr>
    <w:rPr>
      <w:rFonts w:cs="Arial"/>
      <w:b/>
      <w:bCs/>
      <w:snapToGrid w:val="0"/>
      <w:kern w:val="32"/>
      <w:sz w:val="24"/>
      <w:szCs w:val="32"/>
      <w:lang w:val="en-GB"/>
    </w:rPr>
  </w:style>
  <w:style w:type="paragraph" w:customStyle="1" w:styleId="H2">
    <w:name w:val="H2"/>
    <w:rsid w:val="000134CC"/>
    <w:rPr>
      <w:rFonts w:cs="Arial"/>
      <w:b/>
      <w:bCs/>
      <w:iCs/>
      <w:snapToGrid w:val="0"/>
      <w:sz w:val="22"/>
      <w:szCs w:val="28"/>
      <w:lang w:val="en-GB"/>
    </w:rPr>
  </w:style>
  <w:style w:type="character" w:customStyle="1" w:styleId="BodyTextChar">
    <w:name w:val="Body Text Char"/>
    <w:basedOn w:val="DefaultParagraphFont"/>
    <w:link w:val="BodyText"/>
    <w:rsid w:val="002041C6"/>
    <w:rPr>
      <w:rFonts w:ascii="Arial" w:hAnsi="Arial" w:cs="Arial"/>
    </w:rPr>
  </w:style>
  <w:style w:type="paragraph" w:customStyle="1" w:styleId="NormalVerdana">
    <w:name w:val="Normal + Verdana"/>
    <w:basedOn w:val="Normal"/>
    <w:rsid w:val="002041C6"/>
  </w:style>
  <w:style w:type="paragraph" w:styleId="NoSpacing">
    <w:name w:val="No Spacing"/>
    <w:link w:val="NoSpacingChar"/>
    <w:uiPriority w:val="1"/>
    <w:qFormat/>
    <w:rsid w:val="002041C6"/>
    <w:rPr>
      <w:rFonts w:ascii="Calibri" w:eastAsia="Calibri" w:hAnsi="Calibri"/>
      <w:sz w:val="22"/>
      <w:szCs w:val="22"/>
    </w:rPr>
  </w:style>
  <w:style w:type="character" w:customStyle="1" w:styleId="NoSpacingChar">
    <w:name w:val="No Spacing Char"/>
    <w:basedOn w:val="DefaultParagraphFont"/>
    <w:link w:val="NoSpacing"/>
    <w:uiPriority w:val="1"/>
    <w:rsid w:val="002041C6"/>
    <w:rPr>
      <w:rFonts w:ascii="Calibri" w:eastAsia="Calibri" w:hAnsi="Calibri"/>
      <w:sz w:val="22"/>
      <w:szCs w:val="22"/>
      <w:lang w:val="en-US" w:eastAsia="en-US" w:bidi="ar-SA"/>
    </w:rPr>
  </w:style>
  <w:style w:type="paragraph" w:customStyle="1" w:styleId="Default">
    <w:name w:val="Default"/>
    <w:rsid w:val="002041C6"/>
    <w:pPr>
      <w:autoSpaceDE w:val="0"/>
      <w:autoSpaceDN w:val="0"/>
      <w:adjustRightInd w:val="0"/>
    </w:pPr>
    <w:rPr>
      <w:rFonts w:ascii="Arial" w:eastAsia="Calibri" w:hAnsi="Arial" w:cs="Arial"/>
      <w:color w:val="000000"/>
      <w:sz w:val="24"/>
      <w:szCs w:val="24"/>
      <w:lang w:val="en-ZW"/>
    </w:rPr>
  </w:style>
  <w:style w:type="character" w:customStyle="1" w:styleId="HeaderChar">
    <w:name w:val="Header Char"/>
    <w:basedOn w:val="DefaultParagraphFont"/>
    <w:link w:val="Header"/>
    <w:rsid w:val="002041C6"/>
    <w:rPr>
      <w:sz w:val="24"/>
      <w:szCs w:val="24"/>
    </w:rPr>
  </w:style>
</w:styles>
</file>

<file path=word/webSettings.xml><?xml version="1.0" encoding="utf-8"?>
<w:webSettings xmlns:r="http://schemas.openxmlformats.org/officeDocument/2006/relationships" xmlns:w="http://schemas.openxmlformats.org/wordprocessingml/2006/main">
  <w:divs>
    <w:div w:id="317266762">
      <w:bodyDiv w:val="1"/>
      <w:marLeft w:val="0"/>
      <w:marRight w:val="0"/>
      <w:marTop w:val="0"/>
      <w:marBottom w:val="0"/>
      <w:divBdr>
        <w:top w:val="none" w:sz="0" w:space="0" w:color="auto"/>
        <w:left w:val="none" w:sz="0" w:space="0" w:color="auto"/>
        <w:bottom w:val="none" w:sz="0" w:space="0" w:color="auto"/>
        <w:right w:val="none" w:sz="0" w:space="0" w:color="auto"/>
      </w:divBdr>
    </w:div>
    <w:div w:id="363099638">
      <w:bodyDiv w:val="1"/>
      <w:marLeft w:val="0"/>
      <w:marRight w:val="0"/>
      <w:marTop w:val="0"/>
      <w:marBottom w:val="0"/>
      <w:divBdr>
        <w:top w:val="none" w:sz="0" w:space="0" w:color="auto"/>
        <w:left w:val="none" w:sz="0" w:space="0" w:color="auto"/>
        <w:bottom w:val="none" w:sz="0" w:space="0" w:color="auto"/>
        <w:right w:val="none" w:sz="0" w:space="0" w:color="auto"/>
      </w:divBdr>
    </w:div>
    <w:div w:id="410277288">
      <w:bodyDiv w:val="1"/>
      <w:marLeft w:val="0"/>
      <w:marRight w:val="0"/>
      <w:marTop w:val="0"/>
      <w:marBottom w:val="0"/>
      <w:divBdr>
        <w:top w:val="none" w:sz="0" w:space="0" w:color="auto"/>
        <w:left w:val="none" w:sz="0" w:space="0" w:color="auto"/>
        <w:bottom w:val="none" w:sz="0" w:space="0" w:color="auto"/>
        <w:right w:val="none" w:sz="0" w:space="0" w:color="auto"/>
      </w:divBdr>
    </w:div>
    <w:div w:id="1291473889">
      <w:bodyDiv w:val="1"/>
      <w:marLeft w:val="0"/>
      <w:marRight w:val="0"/>
      <w:marTop w:val="0"/>
      <w:marBottom w:val="0"/>
      <w:divBdr>
        <w:top w:val="none" w:sz="0" w:space="0" w:color="auto"/>
        <w:left w:val="none" w:sz="0" w:space="0" w:color="auto"/>
        <w:bottom w:val="none" w:sz="0" w:space="0" w:color="auto"/>
        <w:right w:val="none" w:sz="0" w:space="0" w:color="auto"/>
      </w:divBdr>
      <w:divsChild>
        <w:div w:id="1693417213">
          <w:marLeft w:val="0"/>
          <w:marRight w:val="0"/>
          <w:marTop w:val="0"/>
          <w:marBottom w:val="360"/>
          <w:divBdr>
            <w:top w:val="none" w:sz="0" w:space="0" w:color="auto"/>
            <w:left w:val="none" w:sz="0" w:space="0" w:color="auto"/>
            <w:bottom w:val="none" w:sz="0" w:space="0" w:color="auto"/>
            <w:right w:val="none" w:sz="0" w:space="0" w:color="auto"/>
          </w:divBdr>
        </w:div>
      </w:divsChild>
    </w:div>
    <w:div w:id="1608392018">
      <w:bodyDiv w:val="1"/>
      <w:marLeft w:val="0"/>
      <w:marRight w:val="0"/>
      <w:marTop w:val="0"/>
      <w:marBottom w:val="0"/>
      <w:divBdr>
        <w:top w:val="none" w:sz="0" w:space="0" w:color="auto"/>
        <w:left w:val="none" w:sz="0" w:space="0" w:color="auto"/>
        <w:bottom w:val="none" w:sz="0" w:space="0" w:color="auto"/>
        <w:right w:val="none" w:sz="0" w:space="0" w:color="auto"/>
      </w:divBdr>
      <w:divsChild>
        <w:div w:id="1654872997">
          <w:marLeft w:val="0"/>
          <w:marRight w:val="0"/>
          <w:marTop w:val="0"/>
          <w:marBottom w:val="360"/>
          <w:divBdr>
            <w:top w:val="none" w:sz="0" w:space="0" w:color="auto"/>
            <w:left w:val="none" w:sz="0" w:space="0" w:color="auto"/>
            <w:bottom w:val="none" w:sz="0" w:space="0" w:color="auto"/>
            <w:right w:val="none" w:sz="0" w:space="0" w:color="auto"/>
          </w:divBdr>
        </w:div>
      </w:divsChild>
    </w:div>
    <w:div w:id="1690258228">
      <w:bodyDiv w:val="1"/>
      <w:marLeft w:val="0"/>
      <w:marRight w:val="0"/>
      <w:marTop w:val="0"/>
      <w:marBottom w:val="0"/>
      <w:divBdr>
        <w:top w:val="none" w:sz="0" w:space="0" w:color="auto"/>
        <w:left w:val="none" w:sz="0" w:space="0" w:color="auto"/>
        <w:bottom w:val="none" w:sz="0" w:space="0" w:color="auto"/>
        <w:right w:val="none" w:sz="0" w:space="0" w:color="auto"/>
      </w:divBdr>
    </w:div>
    <w:div w:id="1751806115">
      <w:bodyDiv w:val="1"/>
      <w:marLeft w:val="0"/>
      <w:marRight w:val="0"/>
      <w:marTop w:val="0"/>
      <w:marBottom w:val="0"/>
      <w:divBdr>
        <w:top w:val="none" w:sz="0" w:space="0" w:color="auto"/>
        <w:left w:val="none" w:sz="0" w:space="0" w:color="auto"/>
        <w:bottom w:val="none" w:sz="0" w:space="0" w:color="auto"/>
        <w:right w:val="none" w:sz="0" w:space="0" w:color="auto"/>
      </w:divBdr>
    </w:div>
    <w:div w:id="1796019748">
      <w:bodyDiv w:val="1"/>
      <w:marLeft w:val="0"/>
      <w:marRight w:val="0"/>
      <w:marTop w:val="0"/>
      <w:marBottom w:val="0"/>
      <w:divBdr>
        <w:top w:val="none" w:sz="0" w:space="0" w:color="auto"/>
        <w:left w:val="none" w:sz="0" w:space="0" w:color="auto"/>
        <w:bottom w:val="none" w:sz="0" w:space="0" w:color="auto"/>
        <w:right w:val="none" w:sz="0" w:space="0" w:color="auto"/>
      </w:divBdr>
      <w:divsChild>
        <w:div w:id="1269388967">
          <w:marLeft w:val="0"/>
          <w:marRight w:val="0"/>
          <w:marTop w:val="0"/>
          <w:marBottom w:val="360"/>
          <w:divBdr>
            <w:top w:val="none" w:sz="0" w:space="0" w:color="auto"/>
            <w:left w:val="none" w:sz="0" w:space="0" w:color="auto"/>
            <w:bottom w:val="none" w:sz="0" w:space="0" w:color="auto"/>
            <w:right w:val="none" w:sz="0" w:space="0" w:color="auto"/>
          </w:divBdr>
        </w:div>
      </w:divsChild>
    </w:div>
    <w:div w:id="1798255927">
      <w:bodyDiv w:val="1"/>
      <w:marLeft w:val="0"/>
      <w:marRight w:val="0"/>
      <w:marTop w:val="0"/>
      <w:marBottom w:val="0"/>
      <w:divBdr>
        <w:top w:val="none" w:sz="0" w:space="0" w:color="auto"/>
        <w:left w:val="none" w:sz="0" w:space="0" w:color="auto"/>
        <w:bottom w:val="none" w:sz="0" w:space="0" w:color="auto"/>
        <w:right w:val="none" w:sz="0" w:space="0" w:color="auto"/>
      </w:divBdr>
      <w:divsChild>
        <w:div w:id="1134103472">
          <w:marLeft w:val="0"/>
          <w:marRight w:val="0"/>
          <w:marTop w:val="0"/>
          <w:marBottom w:val="360"/>
          <w:divBdr>
            <w:top w:val="none" w:sz="0" w:space="0" w:color="auto"/>
            <w:left w:val="none" w:sz="0" w:space="0" w:color="auto"/>
            <w:bottom w:val="none" w:sz="0" w:space="0" w:color="auto"/>
            <w:right w:val="none" w:sz="0" w:space="0" w:color="auto"/>
          </w:divBdr>
        </w:div>
      </w:divsChild>
    </w:div>
    <w:div w:id="1818959356">
      <w:bodyDiv w:val="1"/>
      <w:marLeft w:val="0"/>
      <w:marRight w:val="0"/>
      <w:marTop w:val="0"/>
      <w:marBottom w:val="0"/>
      <w:divBdr>
        <w:top w:val="none" w:sz="0" w:space="0" w:color="auto"/>
        <w:left w:val="none" w:sz="0" w:space="0" w:color="auto"/>
        <w:bottom w:val="none" w:sz="0" w:space="0" w:color="auto"/>
        <w:right w:val="none" w:sz="0" w:space="0" w:color="auto"/>
      </w:divBdr>
      <w:divsChild>
        <w:div w:id="1032455938">
          <w:marLeft w:val="0"/>
          <w:marRight w:val="0"/>
          <w:marTop w:val="0"/>
          <w:marBottom w:val="0"/>
          <w:divBdr>
            <w:top w:val="none" w:sz="0" w:space="0" w:color="auto"/>
            <w:left w:val="none" w:sz="0" w:space="0" w:color="auto"/>
            <w:bottom w:val="none" w:sz="0" w:space="0" w:color="auto"/>
            <w:right w:val="none" w:sz="0" w:space="0" w:color="auto"/>
          </w:divBdr>
        </w:div>
      </w:divsChild>
    </w:div>
    <w:div w:id="1915816316">
      <w:bodyDiv w:val="1"/>
      <w:marLeft w:val="0"/>
      <w:marRight w:val="0"/>
      <w:marTop w:val="0"/>
      <w:marBottom w:val="0"/>
      <w:divBdr>
        <w:top w:val="none" w:sz="0" w:space="0" w:color="auto"/>
        <w:left w:val="none" w:sz="0" w:space="0" w:color="auto"/>
        <w:bottom w:val="none" w:sz="0" w:space="0" w:color="auto"/>
        <w:right w:val="none" w:sz="0" w:space="0" w:color="auto"/>
      </w:divBdr>
    </w:div>
    <w:div w:id="1949772186">
      <w:bodyDiv w:val="1"/>
      <w:marLeft w:val="0"/>
      <w:marRight w:val="0"/>
      <w:marTop w:val="0"/>
      <w:marBottom w:val="0"/>
      <w:divBdr>
        <w:top w:val="none" w:sz="0" w:space="0" w:color="auto"/>
        <w:left w:val="none" w:sz="0" w:space="0" w:color="auto"/>
        <w:bottom w:val="none" w:sz="0" w:space="0" w:color="auto"/>
        <w:right w:val="none" w:sz="0" w:space="0" w:color="auto"/>
      </w:divBdr>
      <w:divsChild>
        <w:div w:id="224611770">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binn@unaids.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9A38-C1BC-4A51-A275-B9DA97166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4716</Words>
  <Characters>26883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UNDP</Company>
  <LinksUpToDate>false</LinksUpToDate>
  <CharactersWithSpaces>31536</CharactersWithSpaces>
  <SharedDoc>false</SharedDoc>
  <HLinks>
    <vt:vector size="12" baseType="variant">
      <vt:variant>
        <vt:i4>655430</vt:i4>
      </vt:variant>
      <vt:variant>
        <vt:i4>0</vt:i4>
      </vt:variant>
      <vt:variant>
        <vt:i4>0</vt:i4>
      </vt:variant>
      <vt:variant>
        <vt:i4>5</vt:i4>
      </vt:variant>
      <vt:variant>
        <vt:lpwstr>http://mdtf.undp.org/</vt:lpwstr>
      </vt:variant>
      <vt:variant>
        <vt:lpwstr/>
      </vt:variant>
      <vt:variant>
        <vt:i4>655430</vt:i4>
      </vt:variant>
      <vt:variant>
        <vt:i4>0</vt:i4>
      </vt:variant>
      <vt:variant>
        <vt:i4>0</vt:i4>
      </vt:variant>
      <vt:variant>
        <vt:i4>5</vt:i4>
      </vt:variant>
      <vt:variant>
        <vt:lpwstr>http://mdtf.undp.org/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Dalia</dc:creator>
  <cp:lastModifiedBy>pbjalkander</cp:lastModifiedBy>
  <cp:revision>2</cp:revision>
  <cp:lastPrinted>2011-02-18T12:22:00Z</cp:lastPrinted>
  <dcterms:created xsi:type="dcterms:W3CDTF">2011-03-24T16:27:00Z</dcterms:created>
  <dcterms:modified xsi:type="dcterms:W3CDTF">2011-03-24T16:27:00Z</dcterms:modified>
</cp:coreProperties>
</file>