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56A" w:rsidRPr="0096472B" w:rsidRDefault="00CD7275" w:rsidP="0096472B">
      <w:pPr>
        <w:jc w:val="center"/>
        <w:rPr>
          <w:b/>
          <w:sz w:val="28"/>
          <w:szCs w:val="28"/>
          <w:u w:val="single"/>
        </w:rPr>
      </w:pPr>
      <w:r>
        <w:rPr>
          <w:rFonts w:ascii="Arial" w:hAnsi="Arial"/>
          <w:noProof/>
          <w:spacing w:val="-3"/>
          <w:sz w:val="20"/>
        </w:rPr>
        <w:drawing>
          <wp:inline distT="0" distB="0" distL="0" distR="0">
            <wp:extent cx="102870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0832" t="3612" r="10832" b="16414"/>
                    <a:stretch>
                      <a:fillRect/>
                    </a:stretch>
                  </pic:blipFill>
                  <pic:spPr bwMode="auto">
                    <a:xfrm>
                      <a:off x="0" y="0"/>
                      <a:ext cx="1028700" cy="771525"/>
                    </a:xfrm>
                    <a:prstGeom prst="rect">
                      <a:avLst/>
                    </a:prstGeom>
                    <a:solidFill>
                      <a:srgbClr val="3366FF"/>
                    </a:solidFill>
                    <a:ln w="9525">
                      <a:noFill/>
                      <a:miter lim="800000"/>
                      <a:headEnd/>
                      <a:tailEnd/>
                    </a:ln>
                  </pic:spPr>
                </pic:pic>
              </a:graphicData>
            </a:graphic>
          </wp:inline>
        </w:drawing>
      </w:r>
    </w:p>
    <w:p w:rsidR="0099056A" w:rsidRPr="00716420" w:rsidRDefault="0099056A" w:rsidP="00CD7275">
      <w:pPr>
        <w:jc w:val="center"/>
        <w:rPr>
          <w:b/>
        </w:rPr>
      </w:pPr>
      <w:r w:rsidRPr="00716420">
        <w:rPr>
          <w:b/>
        </w:rPr>
        <w:t>[</w:t>
      </w:r>
      <w:r w:rsidR="00F06D4E">
        <w:rPr>
          <w:b/>
        </w:rPr>
        <w:t>UN BHUTAN COUNTRY FUND</w:t>
      </w:r>
      <w:r w:rsidRPr="00716420">
        <w:rPr>
          <w:b/>
        </w:rPr>
        <w:t>]</w:t>
      </w:r>
    </w:p>
    <w:p w:rsidR="0099056A" w:rsidRPr="00716420" w:rsidRDefault="0099056A" w:rsidP="00CD7275">
      <w:pPr>
        <w:jc w:val="center"/>
        <w:rPr>
          <w:sz w:val="14"/>
          <w:szCs w:val="16"/>
        </w:rPr>
      </w:pPr>
    </w:p>
    <w:p w:rsidR="0099056A" w:rsidRPr="00716420" w:rsidRDefault="0099056A" w:rsidP="00CD7275">
      <w:pPr>
        <w:jc w:val="center"/>
        <w:rPr>
          <w:b/>
          <w:bCs/>
          <w:caps/>
        </w:rPr>
      </w:pPr>
      <w:bookmarkStart w:id="0" w:name="OLE_LINK1"/>
      <w:bookmarkStart w:id="1" w:name="OLE_LINK2"/>
      <w:r w:rsidRPr="00716420">
        <w:rPr>
          <w:b/>
          <w:bCs/>
          <w:caps/>
        </w:rPr>
        <w:t>ANNUAL programme</w:t>
      </w:r>
      <w:r w:rsidRPr="00716420">
        <w:rPr>
          <w:rStyle w:val="FootnoteReference"/>
          <w:b/>
          <w:bCs/>
          <w:caps/>
        </w:rPr>
        <w:footnoteReference w:id="1"/>
      </w:r>
      <w:r w:rsidRPr="00716420">
        <w:rPr>
          <w:b/>
          <w:bCs/>
          <w:caps/>
        </w:rPr>
        <w:t xml:space="preserve"> NARRATIVE progress report</w:t>
      </w:r>
    </w:p>
    <w:p w:rsidR="0099056A" w:rsidRPr="00716420" w:rsidRDefault="0099056A" w:rsidP="00CD7275">
      <w:pPr>
        <w:jc w:val="center"/>
        <w:rPr>
          <w:b/>
          <w:bCs/>
          <w:caps/>
        </w:rPr>
      </w:pPr>
    </w:p>
    <w:bookmarkEnd w:id="0"/>
    <w:bookmarkEnd w:id="1"/>
    <w:p w:rsidR="0099056A" w:rsidRPr="00716420" w:rsidRDefault="0099056A" w:rsidP="00CD7275">
      <w:pPr>
        <w:jc w:val="center"/>
        <w:rPr>
          <w:b/>
          <w:bCs/>
          <w:caps/>
        </w:rPr>
      </w:pPr>
      <w:r w:rsidRPr="00716420">
        <w:rPr>
          <w:b/>
          <w:bCs/>
          <w:caps/>
        </w:rPr>
        <w:t>REPORTING PERIOD: 1 january – 31 December 2010</w:t>
      </w:r>
    </w:p>
    <w:p w:rsidR="0099056A" w:rsidRPr="00716420" w:rsidRDefault="0099056A" w:rsidP="00D021E2">
      <w:pPr>
        <w:rPr>
          <w:b/>
          <w:bCs/>
          <w:caps/>
        </w:rPr>
      </w:pPr>
    </w:p>
    <w:tbl>
      <w:tblPr>
        <w:tblW w:w="10260" w:type="dxa"/>
        <w:tblInd w:w="-72" w:type="dxa"/>
        <w:tblLayout w:type="fixed"/>
        <w:tblLook w:val="01E0"/>
      </w:tblPr>
      <w:tblGrid>
        <w:gridCol w:w="5040"/>
        <w:gridCol w:w="360"/>
        <w:gridCol w:w="4860"/>
      </w:tblGrid>
      <w:tr w:rsidR="0099056A" w:rsidRPr="00716420" w:rsidTr="000134CC">
        <w:trPr>
          <w:trHeight w:val="206"/>
        </w:trPr>
        <w:tc>
          <w:tcPr>
            <w:tcW w:w="5040" w:type="dxa"/>
            <w:tcBorders>
              <w:top w:val="single" w:sz="4" w:space="0" w:color="auto"/>
              <w:left w:val="single" w:sz="4" w:space="0" w:color="auto"/>
              <w:right w:val="single" w:sz="4" w:space="0" w:color="auto"/>
            </w:tcBorders>
            <w:shd w:val="clear" w:color="auto" w:fill="F3F3F3"/>
            <w:vAlign w:val="center"/>
          </w:tcPr>
          <w:p w:rsidR="0099056A" w:rsidRPr="0096472B" w:rsidRDefault="0099056A" w:rsidP="00D021E2">
            <w:pPr>
              <w:pStyle w:val="H1"/>
              <w:rPr>
                <w:rFonts w:cs="Times New Roman"/>
                <w:sz w:val="20"/>
                <w:szCs w:val="20"/>
              </w:rPr>
            </w:pPr>
            <w:r w:rsidRPr="0096472B">
              <w:rPr>
                <w:rFonts w:cs="Times New Roman"/>
                <w:sz w:val="20"/>
                <w:szCs w:val="20"/>
              </w:rPr>
              <w:t>Programme Title &amp; Number</w:t>
            </w:r>
          </w:p>
        </w:tc>
        <w:tc>
          <w:tcPr>
            <w:tcW w:w="360" w:type="dxa"/>
            <w:vMerge w:val="restart"/>
            <w:tcBorders>
              <w:left w:val="single" w:sz="4" w:space="0" w:color="auto"/>
              <w:right w:val="single" w:sz="4" w:space="0" w:color="auto"/>
            </w:tcBorders>
            <w:vAlign w:val="center"/>
          </w:tcPr>
          <w:p w:rsidR="0099056A" w:rsidRPr="00716420" w:rsidRDefault="0099056A" w:rsidP="00D021E2"/>
        </w:tc>
        <w:tc>
          <w:tcPr>
            <w:tcW w:w="4860" w:type="dxa"/>
            <w:tcBorders>
              <w:top w:val="single" w:sz="4" w:space="0" w:color="auto"/>
              <w:left w:val="single" w:sz="4" w:space="0" w:color="auto"/>
              <w:right w:val="single" w:sz="4" w:space="0" w:color="auto"/>
            </w:tcBorders>
            <w:shd w:val="clear" w:color="auto" w:fill="F3F3F3"/>
            <w:vAlign w:val="center"/>
          </w:tcPr>
          <w:p w:rsidR="0099056A" w:rsidRPr="0096472B" w:rsidRDefault="0099056A" w:rsidP="00D021E2">
            <w:pPr>
              <w:pStyle w:val="H1"/>
              <w:rPr>
                <w:rFonts w:cs="Times New Roman"/>
                <w:sz w:val="20"/>
                <w:szCs w:val="20"/>
              </w:rPr>
            </w:pPr>
            <w:r w:rsidRPr="0096472B">
              <w:rPr>
                <w:rFonts w:cs="Times New Roman"/>
                <w:sz w:val="20"/>
                <w:szCs w:val="20"/>
              </w:rPr>
              <w:t>Country, Locality(s), Thematic Area(s)</w:t>
            </w:r>
            <w:r w:rsidRPr="0096472B">
              <w:rPr>
                <w:rStyle w:val="FootnoteReference"/>
                <w:sz w:val="20"/>
                <w:szCs w:val="20"/>
              </w:rPr>
              <w:footnoteReference w:id="2"/>
            </w:r>
          </w:p>
        </w:tc>
      </w:tr>
      <w:tr w:rsidR="0099056A" w:rsidRPr="00716420" w:rsidTr="000134CC">
        <w:trPr>
          <w:trHeight w:val="495"/>
        </w:trPr>
        <w:tc>
          <w:tcPr>
            <w:tcW w:w="5040" w:type="dxa"/>
            <w:tcBorders>
              <w:left w:val="single" w:sz="4" w:space="0" w:color="auto"/>
              <w:bottom w:val="single" w:sz="4" w:space="0" w:color="auto"/>
              <w:right w:val="single" w:sz="4" w:space="0" w:color="auto"/>
            </w:tcBorders>
          </w:tcPr>
          <w:p w:rsidR="0099056A" w:rsidRPr="0096472B" w:rsidRDefault="0099056A" w:rsidP="00D021E2">
            <w:pPr>
              <w:pStyle w:val="BodyText"/>
              <w:numPr>
                <w:ilvl w:val="0"/>
                <w:numId w:val="8"/>
              </w:numPr>
              <w:spacing w:before="60" w:after="60"/>
              <w:ind w:left="342"/>
              <w:rPr>
                <w:rFonts w:ascii="Times New Roman" w:hAnsi="Times New Roman"/>
                <w:bCs/>
                <w:iCs/>
                <w:snapToGrid w:val="0"/>
              </w:rPr>
            </w:pPr>
            <w:proofErr w:type="spellStart"/>
            <w:r w:rsidRPr="0096472B">
              <w:rPr>
                <w:rFonts w:ascii="Times New Roman" w:hAnsi="Times New Roman"/>
                <w:bCs/>
                <w:iCs/>
                <w:snapToGrid w:val="0"/>
              </w:rPr>
              <w:t>Programme</w:t>
            </w:r>
            <w:proofErr w:type="spellEnd"/>
            <w:r w:rsidRPr="0096472B">
              <w:rPr>
                <w:rFonts w:ascii="Times New Roman" w:hAnsi="Times New Roman"/>
                <w:bCs/>
                <w:iCs/>
                <w:snapToGrid w:val="0"/>
              </w:rPr>
              <w:t xml:space="preserve"> Title:</w:t>
            </w:r>
            <w:r w:rsidR="00CD7275" w:rsidRPr="0096472B">
              <w:rPr>
                <w:rFonts w:ascii="Times New Roman" w:hAnsi="Times New Roman"/>
                <w:bCs/>
                <w:iCs/>
                <w:snapToGrid w:val="0"/>
              </w:rPr>
              <w:t xml:space="preserve"> </w:t>
            </w:r>
            <w:r w:rsidR="00CD7275" w:rsidRPr="0096472B">
              <w:rPr>
                <w:rFonts w:ascii="Times New Roman" w:hAnsi="Times New Roman"/>
                <w:bCs/>
                <w:i/>
                <w:iCs/>
                <w:snapToGrid w:val="0"/>
              </w:rPr>
              <w:t xml:space="preserve">Support to UNDAF Outcome 2: </w:t>
            </w:r>
            <w:r w:rsidR="00EC2CA5">
              <w:rPr>
                <w:rFonts w:ascii="Times New Roman" w:hAnsi="Times New Roman"/>
                <w:b/>
                <w:bCs/>
                <w:i/>
                <w:iCs/>
                <w:snapToGrid w:val="0"/>
              </w:rPr>
              <w:t>By 2012, increased access and utilization of quality health services with emphasis on reproductive health, maternal and child health and nutrition, HIV/AIDS, TB, malaria and other non-communicable diseases.</w:t>
            </w:r>
          </w:p>
          <w:p w:rsidR="0099056A" w:rsidRPr="0096472B" w:rsidRDefault="0099056A" w:rsidP="00D021E2">
            <w:pPr>
              <w:pStyle w:val="BodyText"/>
              <w:numPr>
                <w:ilvl w:val="0"/>
                <w:numId w:val="8"/>
              </w:numPr>
              <w:spacing w:before="60" w:after="60"/>
              <w:ind w:left="342"/>
              <w:rPr>
                <w:rFonts w:ascii="Times New Roman" w:hAnsi="Times New Roman" w:cs="Times New Roman"/>
                <w:bCs/>
                <w:i/>
                <w:iCs/>
                <w:snapToGrid w:val="0"/>
                <w:lang w:val="en-GB"/>
              </w:rPr>
            </w:pPr>
            <w:proofErr w:type="spellStart"/>
            <w:r w:rsidRPr="0096472B">
              <w:rPr>
                <w:rFonts w:ascii="Times New Roman" w:hAnsi="Times New Roman"/>
                <w:bCs/>
                <w:iCs/>
                <w:snapToGrid w:val="0"/>
              </w:rPr>
              <w:t>Programme</w:t>
            </w:r>
            <w:proofErr w:type="spellEnd"/>
            <w:r w:rsidRPr="0096472B">
              <w:rPr>
                <w:rFonts w:ascii="Times New Roman" w:hAnsi="Times New Roman"/>
                <w:bCs/>
                <w:iCs/>
                <w:snapToGrid w:val="0"/>
              </w:rPr>
              <w:t xml:space="preserve"> Number </w:t>
            </w:r>
            <w:r w:rsidRPr="0096472B">
              <w:rPr>
                <w:rFonts w:ascii="Times New Roman" w:hAnsi="Times New Roman" w:cs="Times New Roman"/>
                <w:bCs/>
                <w:i/>
                <w:iCs/>
                <w:snapToGrid w:val="0"/>
                <w:lang w:val="en-GB"/>
              </w:rPr>
              <w:t xml:space="preserve">(if applicable)  </w:t>
            </w:r>
          </w:p>
          <w:p w:rsidR="0099056A" w:rsidRPr="0096472B" w:rsidRDefault="0099056A" w:rsidP="00EC2CA5">
            <w:pPr>
              <w:pStyle w:val="BodyText"/>
              <w:numPr>
                <w:ilvl w:val="0"/>
                <w:numId w:val="8"/>
              </w:numPr>
              <w:spacing w:before="60" w:after="60"/>
              <w:ind w:left="342"/>
              <w:rPr>
                <w:rFonts w:ascii="Times New Roman" w:hAnsi="Times New Roman"/>
                <w:i/>
              </w:rPr>
            </w:pPr>
            <w:r w:rsidRPr="0096472B">
              <w:rPr>
                <w:rFonts w:ascii="Times New Roman" w:hAnsi="Times New Roman"/>
                <w:bCs/>
                <w:iCs/>
                <w:snapToGrid w:val="0"/>
              </w:rPr>
              <w:t>MDTF Office Atlas Number:</w:t>
            </w:r>
            <w:r w:rsidRPr="0096472B">
              <w:rPr>
                <w:rFonts w:ascii="Times New Roman" w:hAnsi="Times New Roman"/>
                <w:i/>
              </w:rPr>
              <w:t xml:space="preserve"> </w:t>
            </w:r>
            <w:r w:rsidR="00CD7275" w:rsidRPr="0096472B">
              <w:rPr>
                <w:rFonts w:ascii="Times New Roman" w:hAnsi="Times New Roman"/>
              </w:rPr>
              <w:t>000732</w:t>
            </w:r>
            <w:r w:rsidR="00EC2CA5">
              <w:rPr>
                <w:rFonts w:ascii="Times New Roman" w:hAnsi="Times New Roman"/>
              </w:rPr>
              <w:t>62</w:t>
            </w:r>
          </w:p>
        </w:tc>
        <w:tc>
          <w:tcPr>
            <w:tcW w:w="360" w:type="dxa"/>
            <w:vMerge/>
            <w:tcBorders>
              <w:left w:val="single" w:sz="4" w:space="0" w:color="auto"/>
              <w:right w:val="single" w:sz="4" w:space="0" w:color="auto"/>
            </w:tcBorders>
          </w:tcPr>
          <w:p w:rsidR="0099056A" w:rsidRPr="00716420" w:rsidRDefault="0099056A" w:rsidP="00D021E2">
            <w:pPr>
              <w:pStyle w:val="BodyText"/>
              <w:rPr>
                <w:rFonts w:ascii="Times New Roman" w:hAnsi="Times New Roman"/>
              </w:rPr>
            </w:pPr>
          </w:p>
        </w:tc>
        <w:tc>
          <w:tcPr>
            <w:tcW w:w="4860" w:type="dxa"/>
            <w:tcBorders>
              <w:left w:val="single" w:sz="4" w:space="0" w:color="auto"/>
              <w:bottom w:val="single" w:sz="4" w:space="0" w:color="auto"/>
              <w:right w:val="single" w:sz="4" w:space="0" w:color="auto"/>
            </w:tcBorders>
          </w:tcPr>
          <w:p w:rsidR="0099056A" w:rsidRPr="0096472B" w:rsidRDefault="0099056A" w:rsidP="00D021E2">
            <w:pPr>
              <w:pStyle w:val="BodyText"/>
              <w:rPr>
                <w:rFonts w:ascii="Times New Roman" w:hAnsi="Times New Roman"/>
                <w:bCs/>
                <w:i/>
                <w:iCs/>
                <w:snapToGrid w:val="0"/>
              </w:rPr>
            </w:pPr>
            <w:r w:rsidRPr="0096472B">
              <w:rPr>
                <w:rFonts w:ascii="Times New Roman" w:hAnsi="Times New Roman"/>
                <w:bCs/>
                <w:i/>
                <w:iCs/>
                <w:snapToGrid w:val="0"/>
              </w:rPr>
              <w:t>(if applicable)</w:t>
            </w:r>
          </w:p>
          <w:p w:rsidR="0099056A" w:rsidRPr="0096472B" w:rsidRDefault="0099056A" w:rsidP="000D3832">
            <w:pPr>
              <w:pStyle w:val="BodyText"/>
              <w:rPr>
                <w:rFonts w:ascii="Times New Roman" w:hAnsi="Times New Roman"/>
                <w:bCs/>
                <w:i/>
                <w:iCs/>
                <w:snapToGrid w:val="0"/>
              </w:rPr>
            </w:pPr>
            <w:r w:rsidRPr="0096472B">
              <w:rPr>
                <w:rFonts w:ascii="Times New Roman" w:hAnsi="Times New Roman"/>
                <w:bCs/>
                <w:i/>
                <w:iCs/>
                <w:snapToGrid w:val="0"/>
              </w:rPr>
              <w:t>Bhutan</w:t>
            </w:r>
            <w:r w:rsidR="00CD7275" w:rsidRPr="0096472B">
              <w:rPr>
                <w:rFonts w:ascii="Times New Roman" w:hAnsi="Times New Roman"/>
                <w:bCs/>
                <w:i/>
                <w:iCs/>
                <w:snapToGrid w:val="0"/>
              </w:rPr>
              <w:t xml:space="preserve">, Nationwide, </w:t>
            </w:r>
            <w:r w:rsidR="000D3832">
              <w:rPr>
                <w:rFonts w:ascii="Times New Roman" w:hAnsi="Times New Roman"/>
                <w:bCs/>
                <w:i/>
                <w:iCs/>
                <w:snapToGrid w:val="0"/>
              </w:rPr>
              <w:t>Health</w:t>
            </w:r>
            <w:r w:rsidRPr="0096472B">
              <w:rPr>
                <w:rFonts w:ascii="Times New Roman" w:hAnsi="Times New Roman"/>
                <w:bCs/>
                <w:i/>
                <w:iCs/>
                <w:snapToGrid w:val="0"/>
              </w:rPr>
              <w:t xml:space="preserve"> </w:t>
            </w:r>
          </w:p>
        </w:tc>
      </w:tr>
    </w:tbl>
    <w:p w:rsidR="0099056A" w:rsidRPr="00716420" w:rsidRDefault="0099056A" w:rsidP="00D021E2">
      <w:pPr>
        <w:rPr>
          <w:b/>
          <w:bCs/>
          <w:caps/>
        </w:rPr>
      </w:pPr>
    </w:p>
    <w:tbl>
      <w:tblPr>
        <w:tblW w:w="10260" w:type="dxa"/>
        <w:tblInd w:w="-72" w:type="dxa"/>
        <w:tblLayout w:type="fixed"/>
        <w:tblLook w:val="01E0"/>
      </w:tblPr>
      <w:tblGrid>
        <w:gridCol w:w="5040"/>
        <w:gridCol w:w="360"/>
        <w:gridCol w:w="4860"/>
      </w:tblGrid>
      <w:tr w:rsidR="0099056A" w:rsidRPr="00716420" w:rsidTr="000134CC">
        <w:trPr>
          <w:trHeight w:val="206"/>
        </w:trPr>
        <w:tc>
          <w:tcPr>
            <w:tcW w:w="5040" w:type="dxa"/>
            <w:tcBorders>
              <w:top w:val="single" w:sz="4" w:space="0" w:color="auto"/>
              <w:left w:val="single" w:sz="4" w:space="0" w:color="auto"/>
              <w:right w:val="single" w:sz="4" w:space="0" w:color="auto"/>
            </w:tcBorders>
            <w:shd w:val="clear" w:color="auto" w:fill="F3F3F3"/>
            <w:vAlign w:val="center"/>
          </w:tcPr>
          <w:p w:rsidR="0099056A" w:rsidRPr="0096472B" w:rsidRDefault="0099056A" w:rsidP="00D021E2">
            <w:pPr>
              <w:pStyle w:val="H1"/>
              <w:rPr>
                <w:rFonts w:cs="Times New Roman"/>
                <w:sz w:val="20"/>
                <w:szCs w:val="20"/>
              </w:rPr>
            </w:pPr>
            <w:r w:rsidRPr="0096472B">
              <w:rPr>
                <w:rFonts w:cs="Times New Roman"/>
                <w:sz w:val="20"/>
                <w:szCs w:val="20"/>
              </w:rPr>
              <w:t>Participating Organization(s)</w:t>
            </w:r>
          </w:p>
        </w:tc>
        <w:tc>
          <w:tcPr>
            <w:tcW w:w="360" w:type="dxa"/>
            <w:vMerge w:val="restart"/>
            <w:tcBorders>
              <w:left w:val="single" w:sz="4" w:space="0" w:color="auto"/>
              <w:right w:val="single" w:sz="4" w:space="0" w:color="auto"/>
            </w:tcBorders>
            <w:vAlign w:val="center"/>
          </w:tcPr>
          <w:p w:rsidR="0099056A" w:rsidRPr="00716420" w:rsidRDefault="0099056A" w:rsidP="00D021E2"/>
        </w:tc>
        <w:tc>
          <w:tcPr>
            <w:tcW w:w="4860" w:type="dxa"/>
            <w:tcBorders>
              <w:top w:val="single" w:sz="4" w:space="0" w:color="auto"/>
              <w:left w:val="single" w:sz="4" w:space="0" w:color="auto"/>
              <w:right w:val="single" w:sz="4" w:space="0" w:color="auto"/>
            </w:tcBorders>
            <w:shd w:val="clear" w:color="auto" w:fill="F3F3F3"/>
            <w:vAlign w:val="center"/>
          </w:tcPr>
          <w:p w:rsidR="0099056A" w:rsidRPr="0096472B" w:rsidRDefault="0099056A" w:rsidP="00D021E2">
            <w:pPr>
              <w:pStyle w:val="H1"/>
              <w:rPr>
                <w:rFonts w:cs="Times New Roman"/>
                <w:sz w:val="20"/>
                <w:szCs w:val="20"/>
              </w:rPr>
            </w:pPr>
            <w:r w:rsidRPr="0096472B">
              <w:rPr>
                <w:rFonts w:cs="Times New Roman"/>
                <w:sz w:val="20"/>
                <w:szCs w:val="20"/>
              </w:rPr>
              <w:t>Implementing Partners</w:t>
            </w:r>
          </w:p>
        </w:tc>
      </w:tr>
      <w:tr w:rsidR="0099056A" w:rsidRPr="00716420" w:rsidTr="000134CC">
        <w:trPr>
          <w:trHeight w:val="495"/>
        </w:trPr>
        <w:tc>
          <w:tcPr>
            <w:tcW w:w="5040" w:type="dxa"/>
            <w:tcBorders>
              <w:left w:val="single" w:sz="4" w:space="0" w:color="auto"/>
              <w:bottom w:val="single" w:sz="4" w:space="0" w:color="auto"/>
              <w:right w:val="single" w:sz="4" w:space="0" w:color="auto"/>
            </w:tcBorders>
          </w:tcPr>
          <w:p w:rsidR="0099056A" w:rsidRPr="0096472B" w:rsidRDefault="0099056A" w:rsidP="00D021E2">
            <w:pPr>
              <w:pStyle w:val="BodyText"/>
              <w:rPr>
                <w:rFonts w:ascii="Times New Roman" w:hAnsi="Times New Roman"/>
                <w:i/>
              </w:rPr>
            </w:pPr>
          </w:p>
          <w:p w:rsidR="0099056A" w:rsidRPr="0096472B" w:rsidRDefault="00CD7275" w:rsidP="00D021E2">
            <w:pPr>
              <w:pStyle w:val="BodyText"/>
              <w:rPr>
                <w:rFonts w:ascii="Times New Roman" w:hAnsi="Times New Roman"/>
                <w:i/>
              </w:rPr>
            </w:pPr>
            <w:r w:rsidRPr="0096472B">
              <w:rPr>
                <w:rFonts w:ascii="Times New Roman" w:hAnsi="Times New Roman"/>
                <w:i/>
              </w:rPr>
              <w:t xml:space="preserve">UNICEF, UNFPA, </w:t>
            </w:r>
          </w:p>
          <w:p w:rsidR="0099056A" w:rsidRPr="0096472B" w:rsidRDefault="0099056A" w:rsidP="00D021E2">
            <w:pPr>
              <w:pStyle w:val="BodyText"/>
              <w:rPr>
                <w:rFonts w:ascii="Times New Roman" w:hAnsi="Times New Roman"/>
                <w:i/>
              </w:rPr>
            </w:pPr>
          </w:p>
        </w:tc>
        <w:tc>
          <w:tcPr>
            <w:tcW w:w="360" w:type="dxa"/>
            <w:vMerge/>
            <w:tcBorders>
              <w:left w:val="single" w:sz="4" w:space="0" w:color="auto"/>
              <w:right w:val="single" w:sz="4" w:space="0" w:color="auto"/>
            </w:tcBorders>
          </w:tcPr>
          <w:p w:rsidR="0099056A" w:rsidRPr="00716420" w:rsidRDefault="0099056A" w:rsidP="00D021E2">
            <w:pPr>
              <w:pStyle w:val="BodyText"/>
              <w:rPr>
                <w:rFonts w:ascii="Times New Roman" w:hAnsi="Times New Roman"/>
              </w:rPr>
            </w:pPr>
          </w:p>
        </w:tc>
        <w:tc>
          <w:tcPr>
            <w:tcW w:w="4860" w:type="dxa"/>
            <w:tcBorders>
              <w:left w:val="single" w:sz="4" w:space="0" w:color="auto"/>
              <w:bottom w:val="single" w:sz="4" w:space="0" w:color="auto"/>
              <w:right w:val="single" w:sz="4" w:space="0" w:color="auto"/>
            </w:tcBorders>
          </w:tcPr>
          <w:p w:rsidR="0099056A" w:rsidRPr="0096472B" w:rsidRDefault="00676842" w:rsidP="003F01CE">
            <w:pPr>
              <w:pStyle w:val="BodyText"/>
              <w:spacing w:before="60" w:after="60"/>
              <w:ind w:left="16"/>
              <w:rPr>
                <w:rFonts w:ascii="Times New Roman" w:hAnsi="Times New Roman"/>
                <w:bCs/>
                <w:iCs/>
                <w:snapToGrid w:val="0"/>
              </w:rPr>
            </w:pPr>
            <w:r w:rsidRPr="0096472B">
              <w:rPr>
                <w:rFonts w:ascii="Times New Roman" w:hAnsi="Times New Roman"/>
                <w:bCs/>
                <w:iCs/>
                <w:snapToGrid w:val="0"/>
              </w:rPr>
              <w:t xml:space="preserve">Ministry of </w:t>
            </w:r>
            <w:r w:rsidR="003F01CE">
              <w:rPr>
                <w:rFonts w:ascii="Times New Roman" w:hAnsi="Times New Roman"/>
                <w:bCs/>
                <w:iCs/>
                <w:snapToGrid w:val="0"/>
              </w:rPr>
              <w:t>Health</w:t>
            </w:r>
          </w:p>
        </w:tc>
      </w:tr>
    </w:tbl>
    <w:p w:rsidR="0099056A" w:rsidRPr="00716420" w:rsidRDefault="0099056A" w:rsidP="00D021E2">
      <w:pPr>
        <w:rPr>
          <w:b/>
          <w:bCs/>
          <w:caps/>
        </w:rPr>
      </w:pPr>
    </w:p>
    <w:tbl>
      <w:tblPr>
        <w:tblW w:w="102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2070"/>
        <w:gridCol w:w="360"/>
        <w:gridCol w:w="2071"/>
        <w:gridCol w:w="2800"/>
      </w:tblGrid>
      <w:tr w:rsidR="0099056A" w:rsidRPr="00716420" w:rsidTr="000134CC">
        <w:trPr>
          <w:trHeight w:val="440"/>
        </w:trPr>
        <w:tc>
          <w:tcPr>
            <w:tcW w:w="5040" w:type="dxa"/>
            <w:gridSpan w:val="2"/>
            <w:tcBorders>
              <w:bottom w:val="nil"/>
            </w:tcBorders>
            <w:shd w:val="clear" w:color="auto" w:fill="F2F2F2"/>
            <w:vAlign w:val="center"/>
          </w:tcPr>
          <w:p w:rsidR="0099056A" w:rsidRPr="0096472B" w:rsidRDefault="0099056A" w:rsidP="00D021E2">
            <w:pPr>
              <w:pStyle w:val="H1"/>
              <w:rPr>
                <w:rFonts w:cs="Times New Roman"/>
                <w:sz w:val="20"/>
                <w:szCs w:val="20"/>
              </w:rPr>
            </w:pPr>
            <w:r w:rsidRPr="0096472B">
              <w:rPr>
                <w:rFonts w:cs="Times New Roman"/>
                <w:sz w:val="20"/>
                <w:szCs w:val="20"/>
              </w:rPr>
              <w:t>Programme/Project Cost (US$)</w:t>
            </w:r>
          </w:p>
        </w:tc>
        <w:tc>
          <w:tcPr>
            <w:tcW w:w="360" w:type="dxa"/>
            <w:tcBorders>
              <w:top w:val="nil"/>
              <w:bottom w:val="nil"/>
            </w:tcBorders>
            <w:vAlign w:val="center"/>
          </w:tcPr>
          <w:p w:rsidR="0099056A" w:rsidRPr="00716420" w:rsidRDefault="0099056A" w:rsidP="00D021E2">
            <w:pPr>
              <w:pStyle w:val="H1"/>
              <w:rPr>
                <w:rFonts w:cs="Times New Roman"/>
              </w:rPr>
            </w:pPr>
          </w:p>
        </w:tc>
        <w:tc>
          <w:tcPr>
            <w:tcW w:w="4871" w:type="dxa"/>
            <w:gridSpan w:val="2"/>
            <w:tcBorders>
              <w:bottom w:val="nil"/>
            </w:tcBorders>
            <w:shd w:val="clear" w:color="auto" w:fill="F2F2F2"/>
            <w:vAlign w:val="center"/>
          </w:tcPr>
          <w:p w:rsidR="0099056A" w:rsidRPr="00716420" w:rsidRDefault="0099056A" w:rsidP="00D021E2">
            <w:pPr>
              <w:pStyle w:val="H1"/>
              <w:rPr>
                <w:rFonts w:cs="Times New Roman"/>
              </w:rPr>
            </w:pPr>
            <w:r w:rsidRPr="00716420">
              <w:rPr>
                <w:rFonts w:cs="Times New Roman"/>
              </w:rPr>
              <w:t>Programme Duration (months)</w:t>
            </w:r>
          </w:p>
        </w:tc>
      </w:tr>
      <w:tr w:rsidR="0099056A" w:rsidRPr="00716420" w:rsidTr="000134CC">
        <w:trPr>
          <w:trHeight w:val="215"/>
        </w:trPr>
        <w:tc>
          <w:tcPr>
            <w:tcW w:w="2970" w:type="dxa"/>
            <w:tcBorders>
              <w:top w:val="nil"/>
              <w:bottom w:val="nil"/>
              <w:right w:val="nil"/>
            </w:tcBorders>
            <w:vAlign w:val="center"/>
          </w:tcPr>
          <w:p w:rsidR="0099056A" w:rsidRPr="0096472B" w:rsidRDefault="0099056A" w:rsidP="00D021E2">
            <w:pPr>
              <w:pStyle w:val="H2"/>
              <w:spacing w:before="120"/>
              <w:rPr>
                <w:rFonts w:cs="Times New Roman"/>
                <w:b w:val="0"/>
                <w:sz w:val="20"/>
                <w:szCs w:val="20"/>
              </w:rPr>
            </w:pPr>
            <w:r w:rsidRPr="0096472B">
              <w:rPr>
                <w:rFonts w:cs="Times New Roman"/>
                <w:b w:val="0"/>
                <w:sz w:val="20"/>
                <w:szCs w:val="20"/>
              </w:rPr>
              <w:t xml:space="preserve">MDTF Fund Contribution:  </w:t>
            </w:r>
          </w:p>
          <w:p w:rsidR="0099056A" w:rsidRPr="0096472B" w:rsidRDefault="00676842" w:rsidP="000D3832">
            <w:pPr>
              <w:pStyle w:val="H2"/>
              <w:numPr>
                <w:ilvl w:val="0"/>
                <w:numId w:val="11"/>
              </w:numPr>
              <w:spacing w:after="120"/>
              <w:ind w:left="162" w:hanging="180"/>
              <w:rPr>
                <w:rFonts w:cs="Times New Roman"/>
                <w:i/>
                <w:sz w:val="20"/>
                <w:szCs w:val="20"/>
              </w:rPr>
            </w:pPr>
            <w:r w:rsidRPr="0096472B">
              <w:rPr>
                <w:rFonts w:cs="Times New Roman"/>
                <w:b w:val="0"/>
                <w:i/>
                <w:sz w:val="20"/>
                <w:szCs w:val="20"/>
              </w:rPr>
              <w:t xml:space="preserve">UNICEF: $ </w:t>
            </w:r>
            <w:r w:rsidR="000D3832">
              <w:rPr>
                <w:rFonts w:cs="Times New Roman"/>
                <w:b w:val="0"/>
                <w:i/>
                <w:sz w:val="20"/>
                <w:szCs w:val="20"/>
              </w:rPr>
              <w:t>56.646</w:t>
            </w:r>
            <w:r w:rsidRPr="0096472B">
              <w:rPr>
                <w:rFonts w:cs="Times New Roman"/>
                <w:b w:val="0"/>
                <w:i/>
                <w:sz w:val="20"/>
                <w:szCs w:val="20"/>
              </w:rPr>
              <w:t xml:space="preserve">; UNFPA: $ </w:t>
            </w:r>
            <w:r w:rsidR="000D3832">
              <w:rPr>
                <w:rFonts w:cs="Times New Roman"/>
                <w:b w:val="0"/>
                <w:i/>
                <w:sz w:val="20"/>
                <w:szCs w:val="20"/>
              </w:rPr>
              <w:t>141,453</w:t>
            </w:r>
          </w:p>
        </w:tc>
        <w:tc>
          <w:tcPr>
            <w:tcW w:w="2070" w:type="dxa"/>
            <w:tcBorders>
              <w:top w:val="nil"/>
              <w:left w:val="nil"/>
              <w:bottom w:val="nil"/>
            </w:tcBorders>
          </w:tcPr>
          <w:p w:rsidR="0099056A" w:rsidRPr="0096472B" w:rsidRDefault="0099056A" w:rsidP="00D021E2">
            <w:pPr>
              <w:pStyle w:val="BodyText"/>
              <w:spacing w:before="120" w:after="120"/>
              <w:rPr>
                <w:rFonts w:ascii="Times New Roman" w:hAnsi="Times New Roman"/>
              </w:rPr>
            </w:pPr>
          </w:p>
        </w:tc>
        <w:tc>
          <w:tcPr>
            <w:tcW w:w="360" w:type="dxa"/>
            <w:tcBorders>
              <w:top w:val="nil"/>
              <w:bottom w:val="nil"/>
            </w:tcBorders>
          </w:tcPr>
          <w:p w:rsidR="0099056A" w:rsidRPr="00716420" w:rsidRDefault="0099056A" w:rsidP="00D021E2">
            <w:pPr>
              <w:pStyle w:val="BodyText"/>
              <w:spacing w:before="120" w:after="120"/>
              <w:rPr>
                <w:rFonts w:ascii="Times New Roman" w:hAnsi="Times New Roman"/>
              </w:rPr>
            </w:pPr>
          </w:p>
        </w:tc>
        <w:tc>
          <w:tcPr>
            <w:tcW w:w="2071" w:type="dxa"/>
            <w:tcBorders>
              <w:top w:val="nil"/>
              <w:bottom w:val="nil"/>
              <w:right w:val="nil"/>
            </w:tcBorders>
            <w:vAlign w:val="center"/>
          </w:tcPr>
          <w:p w:rsidR="0099056A" w:rsidRPr="00716420" w:rsidRDefault="0099056A" w:rsidP="00D021E2">
            <w:pPr>
              <w:pStyle w:val="BodyText"/>
              <w:rPr>
                <w:rFonts w:ascii="Times New Roman" w:hAnsi="Times New Roman"/>
              </w:rPr>
            </w:pPr>
            <w:r w:rsidRPr="00716420">
              <w:rPr>
                <w:rFonts w:ascii="Times New Roman" w:hAnsi="Times New Roman"/>
              </w:rPr>
              <w:t>Overall Duration</w:t>
            </w:r>
          </w:p>
        </w:tc>
        <w:tc>
          <w:tcPr>
            <w:tcW w:w="2800" w:type="dxa"/>
            <w:tcBorders>
              <w:top w:val="nil"/>
              <w:left w:val="nil"/>
              <w:bottom w:val="nil"/>
            </w:tcBorders>
          </w:tcPr>
          <w:p w:rsidR="0099056A" w:rsidRPr="00716420" w:rsidRDefault="0099056A" w:rsidP="00D021E2">
            <w:pPr>
              <w:pStyle w:val="BodyText"/>
              <w:widowControl w:val="0"/>
              <w:spacing w:before="120" w:after="120"/>
              <w:rPr>
                <w:rFonts w:ascii="Times New Roman" w:hAnsi="Times New Roman"/>
              </w:rPr>
            </w:pPr>
          </w:p>
        </w:tc>
      </w:tr>
      <w:tr w:rsidR="0099056A" w:rsidRPr="00716420" w:rsidTr="000134CC">
        <w:trPr>
          <w:trHeight w:val="350"/>
        </w:trPr>
        <w:tc>
          <w:tcPr>
            <w:tcW w:w="2970" w:type="dxa"/>
            <w:tcBorders>
              <w:top w:val="nil"/>
              <w:bottom w:val="nil"/>
              <w:right w:val="nil"/>
            </w:tcBorders>
            <w:vAlign w:val="center"/>
          </w:tcPr>
          <w:p w:rsidR="0099056A" w:rsidRPr="0096472B" w:rsidRDefault="0099056A" w:rsidP="00D021E2">
            <w:pPr>
              <w:pStyle w:val="H2"/>
              <w:spacing w:before="120"/>
              <w:rPr>
                <w:rFonts w:cs="Times New Roman"/>
                <w:b w:val="0"/>
                <w:sz w:val="20"/>
                <w:szCs w:val="20"/>
              </w:rPr>
            </w:pPr>
            <w:r w:rsidRPr="0096472B">
              <w:rPr>
                <w:rFonts w:cs="Times New Roman"/>
                <w:b w:val="0"/>
                <w:sz w:val="20"/>
                <w:szCs w:val="20"/>
              </w:rPr>
              <w:t>Agency Contribution</w:t>
            </w:r>
          </w:p>
          <w:p w:rsidR="0099056A" w:rsidRPr="0096472B" w:rsidRDefault="0099056A" w:rsidP="00D021E2">
            <w:pPr>
              <w:pStyle w:val="H2"/>
              <w:numPr>
                <w:ilvl w:val="0"/>
                <w:numId w:val="10"/>
              </w:numPr>
              <w:spacing w:after="120"/>
              <w:ind w:left="162" w:hanging="162"/>
              <w:rPr>
                <w:rFonts w:cs="Times New Roman"/>
                <w:sz w:val="20"/>
                <w:szCs w:val="20"/>
              </w:rPr>
            </w:pPr>
            <w:r w:rsidRPr="0096472B">
              <w:rPr>
                <w:rFonts w:cs="Times New Roman"/>
                <w:b w:val="0"/>
                <w:i/>
                <w:sz w:val="20"/>
                <w:szCs w:val="20"/>
              </w:rPr>
              <w:t>by Agency (if applicable)</w:t>
            </w:r>
          </w:p>
        </w:tc>
        <w:tc>
          <w:tcPr>
            <w:tcW w:w="2070" w:type="dxa"/>
            <w:tcBorders>
              <w:top w:val="nil"/>
              <w:left w:val="nil"/>
              <w:bottom w:val="nil"/>
            </w:tcBorders>
          </w:tcPr>
          <w:p w:rsidR="0099056A" w:rsidRPr="0096472B" w:rsidRDefault="0099056A" w:rsidP="00D021E2">
            <w:pPr>
              <w:pStyle w:val="BodyText"/>
              <w:spacing w:before="120" w:after="120"/>
              <w:rPr>
                <w:rFonts w:ascii="Times New Roman" w:hAnsi="Times New Roman"/>
              </w:rPr>
            </w:pPr>
          </w:p>
        </w:tc>
        <w:tc>
          <w:tcPr>
            <w:tcW w:w="360" w:type="dxa"/>
            <w:tcBorders>
              <w:top w:val="nil"/>
              <w:bottom w:val="nil"/>
            </w:tcBorders>
          </w:tcPr>
          <w:p w:rsidR="0099056A" w:rsidRPr="00716420" w:rsidRDefault="0099056A" w:rsidP="00D021E2">
            <w:pPr>
              <w:pStyle w:val="BodyText"/>
              <w:spacing w:before="120" w:after="120"/>
              <w:rPr>
                <w:rFonts w:ascii="Times New Roman" w:hAnsi="Times New Roman"/>
              </w:rPr>
            </w:pPr>
          </w:p>
        </w:tc>
        <w:tc>
          <w:tcPr>
            <w:tcW w:w="2071" w:type="dxa"/>
            <w:tcBorders>
              <w:top w:val="nil"/>
              <w:bottom w:val="nil"/>
              <w:right w:val="nil"/>
            </w:tcBorders>
            <w:vAlign w:val="center"/>
          </w:tcPr>
          <w:p w:rsidR="0099056A" w:rsidRPr="00716420" w:rsidRDefault="0099056A" w:rsidP="00D021E2">
            <w:pPr>
              <w:pStyle w:val="BodyText"/>
              <w:rPr>
                <w:rFonts w:ascii="Times New Roman" w:hAnsi="Times New Roman"/>
              </w:rPr>
            </w:pPr>
            <w:r w:rsidRPr="00716420">
              <w:rPr>
                <w:rFonts w:ascii="Times New Roman" w:hAnsi="Times New Roman"/>
              </w:rPr>
              <w:t>Start Date</w:t>
            </w:r>
            <w:r w:rsidRPr="00716420">
              <w:rPr>
                <w:rStyle w:val="FootnoteReference"/>
                <w:rFonts w:ascii="Times New Roman" w:hAnsi="Times New Roman" w:cs="Arial"/>
              </w:rPr>
              <w:footnoteReference w:id="3"/>
            </w:r>
          </w:p>
        </w:tc>
        <w:tc>
          <w:tcPr>
            <w:tcW w:w="2800" w:type="dxa"/>
            <w:tcBorders>
              <w:top w:val="nil"/>
              <w:left w:val="nil"/>
              <w:bottom w:val="nil"/>
            </w:tcBorders>
          </w:tcPr>
          <w:p w:rsidR="0099056A" w:rsidRPr="00716420" w:rsidRDefault="00F06D4E" w:rsidP="00D021E2">
            <w:pPr>
              <w:pStyle w:val="BodyText"/>
              <w:spacing w:before="120" w:after="120"/>
              <w:rPr>
                <w:rFonts w:ascii="Times New Roman" w:hAnsi="Times New Roman"/>
              </w:rPr>
            </w:pPr>
            <w:r>
              <w:rPr>
                <w:rFonts w:ascii="Times New Roman" w:hAnsi="Times New Roman"/>
              </w:rPr>
              <w:t>16</w:t>
            </w:r>
            <w:r w:rsidRPr="00F06D4E">
              <w:rPr>
                <w:rFonts w:ascii="Times New Roman" w:hAnsi="Times New Roman"/>
                <w:vertAlign w:val="superscript"/>
              </w:rPr>
              <w:t>th</w:t>
            </w:r>
            <w:r>
              <w:rPr>
                <w:rFonts w:ascii="Times New Roman" w:hAnsi="Times New Roman"/>
              </w:rPr>
              <w:t xml:space="preserve"> December 2009</w:t>
            </w:r>
          </w:p>
        </w:tc>
      </w:tr>
      <w:tr w:rsidR="0099056A" w:rsidRPr="00716420" w:rsidTr="000134CC">
        <w:trPr>
          <w:trHeight w:val="350"/>
        </w:trPr>
        <w:tc>
          <w:tcPr>
            <w:tcW w:w="2970" w:type="dxa"/>
            <w:tcBorders>
              <w:top w:val="nil"/>
              <w:bottom w:val="nil"/>
              <w:right w:val="nil"/>
            </w:tcBorders>
            <w:shd w:val="clear" w:color="auto" w:fill="D9D9D9"/>
            <w:vAlign w:val="center"/>
          </w:tcPr>
          <w:p w:rsidR="0099056A" w:rsidRPr="0096472B" w:rsidRDefault="0099056A" w:rsidP="00D021E2">
            <w:pPr>
              <w:pStyle w:val="H2"/>
              <w:rPr>
                <w:rFonts w:cs="Times New Roman"/>
                <w:b w:val="0"/>
                <w:sz w:val="20"/>
                <w:szCs w:val="20"/>
              </w:rPr>
            </w:pPr>
            <w:r w:rsidRPr="0096472B">
              <w:rPr>
                <w:rFonts w:cs="Times New Roman"/>
                <w:b w:val="0"/>
                <w:sz w:val="20"/>
                <w:szCs w:val="20"/>
              </w:rPr>
              <w:t>Government Contribution</w:t>
            </w:r>
          </w:p>
          <w:p w:rsidR="0099056A" w:rsidRPr="0096472B" w:rsidRDefault="0099056A" w:rsidP="00D021E2">
            <w:pPr>
              <w:pStyle w:val="H2"/>
              <w:rPr>
                <w:rFonts w:cs="Times New Roman"/>
                <w:sz w:val="20"/>
                <w:szCs w:val="20"/>
              </w:rPr>
            </w:pPr>
            <w:r w:rsidRPr="0096472B">
              <w:rPr>
                <w:rFonts w:cs="Times New Roman"/>
                <w:b w:val="0"/>
                <w:i/>
                <w:sz w:val="20"/>
                <w:szCs w:val="20"/>
              </w:rPr>
              <w:t>(if applicable)</w:t>
            </w:r>
          </w:p>
        </w:tc>
        <w:tc>
          <w:tcPr>
            <w:tcW w:w="2070" w:type="dxa"/>
            <w:tcBorders>
              <w:top w:val="nil"/>
              <w:left w:val="nil"/>
              <w:bottom w:val="nil"/>
            </w:tcBorders>
            <w:shd w:val="clear" w:color="auto" w:fill="D9D9D9"/>
          </w:tcPr>
          <w:p w:rsidR="0099056A" w:rsidRPr="0096472B" w:rsidRDefault="0099056A" w:rsidP="00D021E2">
            <w:pPr>
              <w:pStyle w:val="BodyText"/>
              <w:rPr>
                <w:rFonts w:ascii="Times New Roman" w:hAnsi="Times New Roman"/>
              </w:rPr>
            </w:pPr>
          </w:p>
        </w:tc>
        <w:tc>
          <w:tcPr>
            <w:tcW w:w="360" w:type="dxa"/>
            <w:tcBorders>
              <w:top w:val="nil"/>
              <w:bottom w:val="nil"/>
            </w:tcBorders>
          </w:tcPr>
          <w:p w:rsidR="0099056A" w:rsidRPr="00716420" w:rsidRDefault="0099056A" w:rsidP="00D021E2">
            <w:pPr>
              <w:pStyle w:val="BodyText"/>
              <w:rPr>
                <w:rFonts w:ascii="Times New Roman" w:hAnsi="Times New Roman"/>
              </w:rPr>
            </w:pPr>
          </w:p>
        </w:tc>
        <w:tc>
          <w:tcPr>
            <w:tcW w:w="2071" w:type="dxa"/>
            <w:tcBorders>
              <w:top w:val="nil"/>
              <w:bottom w:val="nil"/>
              <w:right w:val="nil"/>
            </w:tcBorders>
            <w:vAlign w:val="center"/>
          </w:tcPr>
          <w:p w:rsidR="0099056A" w:rsidRPr="00716420" w:rsidRDefault="0099056A" w:rsidP="00D021E2">
            <w:pPr>
              <w:pStyle w:val="BodyText"/>
              <w:rPr>
                <w:rFonts w:ascii="Times New Roman" w:hAnsi="Times New Roman"/>
              </w:rPr>
            </w:pPr>
            <w:r w:rsidRPr="00716420">
              <w:rPr>
                <w:rFonts w:ascii="Times New Roman" w:hAnsi="Times New Roman"/>
              </w:rPr>
              <w:t xml:space="preserve">End Date or Revised End Date, </w:t>
            </w:r>
          </w:p>
          <w:p w:rsidR="0099056A" w:rsidRPr="00716420" w:rsidRDefault="0099056A" w:rsidP="00D021E2">
            <w:pPr>
              <w:pStyle w:val="BodyText"/>
              <w:rPr>
                <w:rFonts w:ascii="Times New Roman" w:hAnsi="Times New Roman"/>
              </w:rPr>
            </w:pPr>
            <w:r w:rsidRPr="00716420">
              <w:rPr>
                <w:rFonts w:ascii="Times New Roman" w:hAnsi="Times New Roman"/>
                <w:bCs/>
                <w:i/>
                <w:iCs/>
                <w:snapToGrid w:val="0"/>
                <w:sz w:val="18"/>
                <w:szCs w:val="18"/>
              </w:rPr>
              <w:t>(if applicable)</w:t>
            </w:r>
          </w:p>
        </w:tc>
        <w:tc>
          <w:tcPr>
            <w:tcW w:w="2800" w:type="dxa"/>
            <w:tcBorders>
              <w:top w:val="nil"/>
              <w:left w:val="nil"/>
              <w:bottom w:val="nil"/>
            </w:tcBorders>
          </w:tcPr>
          <w:p w:rsidR="0099056A" w:rsidRPr="00716420" w:rsidRDefault="00F06D4E" w:rsidP="00D021E2">
            <w:pPr>
              <w:pStyle w:val="BodyText"/>
              <w:rPr>
                <w:rFonts w:ascii="Times New Roman" w:hAnsi="Times New Roman"/>
              </w:rPr>
            </w:pPr>
            <w:r>
              <w:rPr>
                <w:rFonts w:ascii="Times New Roman" w:hAnsi="Times New Roman"/>
              </w:rPr>
              <w:t>31</w:t>
            </w:r>
            <w:r w:rsidRPr="00F06D4E">
              <w:rPr>
                <w:rFonts w:ascii="Times New Roman" w:hAnsi="Times New Roman"/>
                <w:vertAlign w:val="superscript"/>
              </w:rPr>
              <w:t>st</w:t>
            </w:r>
            <w:r>
              <w:rPr>
                <w:rFonts w:ascii="Times New Roman" w:hAnsi="Times New Roman"/>
              </w:rPr>
              <w:t xml:space="preserve"> </w:t>
            </w:r>
            <w:r w:rsidR="0099056A" w:rsidRPr="00716420">
              <w:rPr>
                <w:rFonts w:ascii="Times New Roman" w:hAnsi="Times New Roman"/>
              </w:rPr>
              <w:t>December 201</w:t>
            </w:r>
            <w:r w:rsidR="00F74095">
              <w:rPr>
                <w:rFonts w:ascii="Times New Roman" w:hAnsi="Times New Roman"/>
              </w:rPr>
              <w:t>3</w:t>
            </w:r>
          </w:p>
        </w:tc>
      </w:tr>
      <w:tr w:rsidR="0099056A" w:rsidRPr="00716420" w:rsidTr="000134CC">
        <w:trPr>
          <w:trHeight w:val="350"/>
        </w:trPr>
        <w:tc>
          <w:tcPr>
            <w:tcW w:w="2970" w:type="dxa"/>
            <w:tcBorders>
              <w:top w:val="nil"/>
              <w:bottom w:val="nil"/>
              <w:right w:val="nil"/>
            </w:tcBorders>
            <w:shd w:val="clear" w:color="auto" w:fill="D9D9D9"/>
            <w:vAlign w:val="center"/>
          </w:tcPr>
          <w:p w:rsidR="0099056A" w:rsidRPr="0096472B" w:rsidRDefault="0099056A" w:rsidP="00D021E2">
            <w:pPr>
              <w:pStyle w:val="H2"/>
              <w:rPr>
                <w:rFonts w:cs="Times New Roman"/>
                <w:b w:val="0"/>
                <w:sz w:val="20"/>
                <w:szCs w:val="20"/>
              </w:rPr>
            </w:pPr>
            <w:r w:rsidRPr="0096472B">
              <w:rPr>
                <w:rFonts w:cs="Times New Roman"/>
                <w:b w:val="0"/>
                <w:sz w:val="20"/>
                <w:szCs w:val="20"/>
              </w:rPr>
              <w:t>Other Contribution (donor)</w:t>
            </w:r>
          </w:p>
          <w:p w:rsidR="0099056A" w:rsidRPr="0096472B" w:rsidRDefault="0099056A" w:rsidP="00D021E2">
            <w:pPr>
              <w:pStyle w:val="H2"/>
              <w:rPr>
                <w:rFonts w:cs="Times New Roman"/>
                <w:sz w:val="20"/>
                <w:szCs w:val="20"/>
              </w:rPr>
            </w:pPr>
            <w:r w:rsidRPr="0096472B">
              <w:rPr>
                <w:rFonts w:cs="Times New Roman"/>
                <w:b w:val="0"/>
                <w:i/>
                <w:sz w:val="20"/>
                <w:szCs w:val="20"/>
              </w:rPr>
              <w:t>(if applicable)</w:t>
            </w:r>
          </w:p>
        </w:tc>
        <w:tc>
          <w:tcPr>
            <w:tcW w:w="2070" w:type="dxa"/>
            <w:tcBorders>
              <w:top w:val="nil"/>
              <w:left w:val="nil"/>
              <w:bottom w:val="nil"/>
            </w:tcBorders>
            <w:shd w:val="clear" w:color="auto" w:fill="D9D9D9"/>
          </w:tcPr>
          <w:p w:rsidR="0099056A" w:rsidRPr="0096472B" w:rsidRDefault="0099056A" w:rsidP="00D021E2">
            <w:pPr>
              <w:pStyle w:val="BodyText"/>
              <w:rPr>
                <w:rFonts w:ascii="Times New Roman" w:hAnsi="Times New Roman"/>
              </w:rPr>
            </w:pPr>
          </w:p>
        </w:tc>
        <w:tc>
          <w:tcPr>
            <w:tcW w:w="360" w:type="dxa"/>
            <w:tcBorders>
              <w:top w:val="nil"/>
              <w:bottom w:val="nil"/>
            </w:tcBorders>
          </w:tcPr>
          <w:p w:rsidR="0099056A" w:rsidRPr="00716420" w:rsidRDefault="0099056A" w:rsidP="00D021E2">
            <w:pPr>
              <w:pStyle w:val="BodyText"/>
              <w:rPr>
                <w:rFonts w:ascii="Times New Roman" w:hAnsi="Times New Roman"/>
              </w:rPr>
            </w:pPr>
          </w:p>
        </w:tc>
        <w:tc>
          <w:tcPr>
            <w:tcW w:w="2071" w:type="dxa"/>
            <w:tcBorders>
              <w:top w:val="nil"/>
              <w:bottom w:val="nil"/>
              <w:right w:val="nil"/>
            </w:tcBorders>
            <w:vAlign w:val="center"/>
          </w:tcPr>
          <w:p w:rsidR="0099056A" w:rsidRPr="00716420" w:rsidRDefault="0099056A" w:rsidP="00D021E2">
            <w:pPr>
              <w:pStyle w:val="BodyText"/>
              <w:rPr>
                <w:rFonts w:ascii="Times New Roman" w:hAnsi="Times New Roman"/>
              </w:rPr>
            </w:pPr>
            <w:r w:rsidRPr="00716420">
              <w:rPr>
                <w:rFonts w:ascii="Times New Roman" w:hAnsi="Times New Roman"/>
              </w:rPr>
              <w:t>Operational Closure Date</w:t>
            </w:r>
            <w:r w:rsidRPr="00716420">
              <w:rPr>
                <w:rStyle w:val="FootnoteReference"/>
                <w:rFonts w:ascii="Times New Roman" w:hAnsi="Times New Roman" w:cs="Arial"/>
              </w:rPr>
              <w:footnoteReference w:id="4"/>
            </w:r>
          </w:p>
        </w:tc>
        <w:tc>
          <w:tcPr>
            <w:tcW w:w="2800" w:type="dxa"/>
            <w:tcBorders>
              <w:top w:val="nil"/>
              <w:left w:val="nil"/>
              <w:bottom w:val="nil"/>
            </w:tcBorders>
          </w:tcPr>
          <w:p w:rsidR="0099056A" w:rsidRPr="00716420" w:rsidRDefault="0099056A" w:rsidP="00D021E2">
            <w:pPr>
              <w:pStyle w:val="BodyText"/>
              <w:rPr>
                <w:rFonts w:ascii="Times New Roman" w:hAnsi="Times New Roman"/>
              </w:rPr>
            </w:pPr>
          </w:p>
        </w:tc>
      </w:tr>
      <w:tr w:rsidR="0099056A" w:rsidRPr="00716420" w:rsidTr="000134CC">
        <w:trPr>
          <w:trHeight w:val="350"/>
        </w:trPr>
        <w:tc>
          <w:tcPr>
            <w:tcW w:w="2970" w:type="dxa"/>
            <w:tcBorders>
              <w:top w:val="nil"/>
              <w:right w:val="nil"/>
            </w:tcBorders>
            <w:vAlign w:val="center"/>
          </w:tcPr>
          <w:p w:rsidR="0099056A" w:rsidRPr="0096472B" w:rsidRDefault="0099056A" w:rsidP="00D021E2">
            <w:pPr>
              <w:pStyle w:val="H2"/>
              <w:rPr>
                <w:rFonts w:cs="Times New Roman"/>
                <w:sz w:val="20"/>
                <w:szCs w:val="20"/>
              </w:rPr>
            </w:pPr>
            <w:r w:rsidRPr="0096472B">
              <w:rPr>
                <w:rFonts w:cs="Times New Roman"/>
                <w:sz w:val="20"/>
                <w:szCs w:val="20"/>
              </w:rPr>
              <w:t>TOTAL:</w:t>
            </w:r>
            <w:r w:rsidR="00676842" w:rsidRPr="0096472B">
              <w:rPr>
                <w:rFonts w:cs="Times New Roman"/>
                <w:sz w:val="20"/>
                <w:szCs w:val="20"/>
              </w:rPr>
              <w:t xml:space="preserve"> $ 410,370</w:t>
            </w:r>
          </w:p>
        </w:tc>
        <w:tc>
          <w:tcPr>
            <w:tcW w:w="2070" w:type="dxa"/>
            <w:tcBorders>
              <w:top w:val="nil"/>
              <w:left w:val="nil"/>
            </w:tcBorders>
          </w:tcPr>
          <w:p w:rsidR="0099056A" w:rsidRPr="0096472B" w:rsidRDefault="0099056A" w:rsidP="00D021E2">
            <w:pPr>
              <w:pStyle w:val="BodyText"/>
              <w:rPr>
                <w:rFonts w:ascii="Times New Roman" w:hAnsi="Times New Roman"/>
              </w:rPr>
            </w:pPr>
          </w:p>
        </w:tc>
        <w:tc>
          <w:tcPr>
            <w:tcW w:w="360" w:type="dxa"/>
            <w:tcBorders>
              <w:top w:val="nil"/>
              <w:bottom w:val="nil"/>
            </w:tcBorders>
          </w:tcPr>
          <w:p w:rsidR="0099056A" w:rsidRPr="00716420" w:rsidRDefault="0099056A" w:rsidP="00D021E2">
            <w:pPr>
              <w:pStyle w:val="BodyText"/>
              <w:rPr>
                <w:rFonts w:ascii="Times New Roman" w:hAnsi="Times New Roman"/>
              </w:rPr>
            </w:pPr>
          </w:p>
        </w:tc>
        <w:tc>
          <w:tcPr>
            <w:tcW w:w="2071" w:type="dxa"/>
            <w:tcBorders>
              <w:top w:val="nil"/>
              <w:right w:val="nil"/>
            </w:tcBorders>
            <w:vAlign w:val="center"/>
          </w:tcPr>
          <w:p w:rsidR="0099056A" w:rsidRPr="00716420" w:rsidRDefault="0099056A" w:rsidP="00D021E2">
            <w:pPr>
              <w:pStyle w:val="BodyText"/>
              <w:rPr>
                <w:rFonts w:ascii="Times New Roman" w:hAnsi="Times New Roman"/>
              </w:rPr>
            </w:pPr>
            <w:r w:rsidRPr="00716420">
              <w:rPr>
                <w:rFonts w:ascii="Times New Roman" w:hAnsi="Times New Roman"/>
              </w:rPr>
              <w:t>Expected Financial Closure Date</w:t>
            </w:r>
          </w:p>
        </w:tc>
        <w:tc>
          <w:tcPr>
            <w:tcW w:w="2800" w:type="dxa"/>
            <w:tcBorders>
              <w:top w:val="nil"/>
              <w:left w:val="nil"/>
            </w:tcBorders>
          </w:tcPr>
          <w:p w:rsidR="0099056A" w:rsidRPr="00716420" w:rsidRDefault="0099056A" w:rsidP="00D021E2">
            <w:pPr>
              <w:pStyle w:val="BodyText"/>
              <w:rPr>
                <w:rFonts w:ascii="Times New Roman" w:hAnsi="Times New Roman"/>
              </w:rPr>
            </w:pPr>
          </w:p>
        </w:tc>
      </w:tr>
    </w:tbl>
    <w:p w:rsidR="0099056A" w:rsidRPr="00716420" w:rsidRDefault="0099056A" w:rsidP="00D021E2">
      <w:pPr>
        <w:rPr>
          <w:b/>
          <w:bCs/>
          <w:caps/>
        </w:rPr>
      </w:pPr>
    </w:p>
    <w:tbl>
      <w:tblPr>
        <w:tblW w:w="10260" w:type="dxa"/>
        <w:tblInd w:w="-72" w:type="dxa"/>
        <w:tblLayout w:type="fixed"/>
        <w:tblLook w:val="01E0"/>
      </w:tblPr>
      <w:tblGrid>
        <w:gridCol w:w="5130"/>
        <w:gridCol w:w="270"/>
        <w:gridCol w:w="4860"/>
      </w:tblGrid>
      <w:tr w:rsidR="0099056A" w:rsidRPr="00716420" w:rsidTr="00EE0977">
        <w:trPr>
          <w:trHeight w:val="206"/>
        </w:trPr>
        <w:tc>
          <w:tcPr>
            <w:tcW w:w="5130" w:type="dxa"/>
            <w:tcBorders>
              <w:top w:val="single" w:sz="4" w:space="0" w:color="auto"/>
              <w:left w:val="single" w:sz="4" w:space="0" w:color="auto"/>
              <w:right w:val="single" w:sz="4" w:space="0" w:color="auto"/>
            </w:tcBorders>
            <w:shd w:val="clear" w:color="auto" w:fill="F3F3F3"/>
          </w:tcPr>
          <w:p w:rsidR="0099056A" w:rsidRPr="00F06D4E" w:rsidRDefault="0099056A" w:rsidP="00D021E2">
            <w:pPr>
              <w:pStyle w:val="H1"/>
              <w:rPr>
                <w:rFonts w:cs="Times New Roman"/>
                <w:sz w:val="20"/>
                <w:szCs w:val="20"/>
              </w:rPr>
            </w:pPr>
            <w:r w:rsidRPr="00F06D4E">
              <w:rPr>
                <w:rFonts w:cs="Times New Roman"/>
                <w:sz w:val="20"/>
                <w:szCs w:val="20"/>
              </w:rPr>
              <w:t>Programme Assessments/Mid-Term Evaluation</w:t>
            </w:r>
          </w:p>
        </w:tc>
        <w:tc>
          <w:tcPr>
            <w:tcW w:w="270" w:type="dxa"/>
            <w:vMerge w:val="restart"/>
            <w:tcBorders>
              <w:left w:val="single" w:sz="4" w:space="0" w:color="auto"/>
              <w:right w:val="single" w:sz="4" w:space="0" w:color="auto"/>
            </w:tcBorders>
          </w:tcPr>
          <w:p w:rsidR="0099056A" w:rsidRPr="00716420" w:rsidRDefault="0099056A" w:rsidP="00D021E2"/>
        </w:tc>
        <w:tc>
          <w:tcPr>
            <w:tcW w:w="4860" w:type="dxa"/>
            <w:tcBorders>
              <w:top w:val="single" w:sz="4" w:space="0" w:color="auto"/>
              <w:left w:val="single" w:sz="4" w:space="0" w:color="auto"/>
              <w:right w:val="single" w:sz="4" w:space="0" w:color="auto"/>
            </w:tcBorders>
            <w:shd w:val="clear" w:color="auto" w:fill="F3F3F3"/>
          </w:tcPr>
          <w:p w:rsidR="0099056A" w:rsidRPr="00F06D4E" w:rsidRDefault="0099056A" w:rsidP="00D021E2">
            <w:pPr>
              <w:pStyle w:val="H1"/>
              <w:rPr>
                <w:rFonts w:cs="Times New Roman"/>
                <w:sz w:val="20"/>
                <w:szCs w:val="20"/>
              </w:rPr>
            </w:pPr>
            <w:r w:rsidRPr="00F06D4E">
              <w:rPr>
                <w:bCs w:val="0"/>
                <w:sz w:val="20"/>
                <w:szCs w:val="20"/>
              </w:rPr>
              <w:t>Submitted By</w:t>
            </w:r>
          </w:p>
        </w:tc>
      </w:tr>
      <w:tr w:rsidR="0099056A" w:rsidRPr="00716420" w:rsidTr="0096472B">
        <w:trPr>
          <w:trHeight w:val="360"/>
        </w:trPr>
        <w:tc>
          <w:tcPr>
            <w:tcW w:w="5130" w:type="dxa"/>
            <w:tcBorders>
              <w:left w:val="single" w:sz="4" w:space="0" w:color="auto"/>
              <w:right w:val="single" w:sz="4" w:space="0" w:color="auto"/>
            </w:tcBorders>
          </w:tcPr>
          <w:p w:rsidR="0099056A" w:rsidRPr="00F06D4E" w:rsidRDefault="0099056A" w:rsidP="00D021E2">
            <w:pPr>
              <w:pStyle w:val="BodyText"/>
              <w:rPr>
                <w:rFonts w:ascii="Times New Roman" w:hAnsi="Times New Roman" w:cs="Times New Roman"/>
                <w:bCs/>
                <w:i/>
                <w:iCs/>
                <w:snapToGrid w:val="0"/>
                <w:lang w:val="en-GB"/>
              </w:rPr>
            </w:pPr>
            <w:r w:rsidRPr="00F06D4E">
              <w:rPr>
                <w:rFonts w:ascii="Times New Roman" w:hAnsi="Times New Roman"/>
              </w:rPr>
              <w:t xml:space="preserve">Assessment Completed  - if applicable </w:t>
            </w:r>
            <w:r w:rsidRPr="00F06D4E">
              <w:rPr>
                <w:rFonts w:ascii="Times New Roman" w:hAnsi="Times New Roman" w:cs="Times New Roman"/>
                <w:bCs/>
                <w:i/>
                <w:iCs/>
                <w:snapToGrid w:val="0"/>
                <w:lang w:val="en-GB"/>
              </w:rPr>
              <w:t>please attach</w:t>
            </w:r>
          </w:p>
          <w:p w:rsidR="0099056A" w:rsidRPr="00F06D4E" w:rsidRDefault="0051577A" w:rsidP="00D021E2">
            <w:pPr>
              <w:pStyle w:val="BodyText"/>
              <w:rPr>
                <w:rFonts w:ascii="Times New Roman" w:hAnsi="Times New Roman"/>
              </w:rPr>
            </w:pPr>
            <w:r w:rsidRPr="0051577A">
              <w:rPr>
                <w:noProof/>
              </w:rPr>
              <w:pict>
                <v:rect id="_x0000_s1027" style="position:absolute;margin-left:-.7pt;margin-top:1.35pt;width:7.15pt;height:7.15pt;z-index:251658752"/>
              </w:pict>
            </w:r>
            <w:r w:rsidR="00F74095">
              <w:rPr>
                <w:rFonts w:ascii="Times New Roman" w:hAnsi="Times New Roman"/>
              </w:rPr>
              <w:t xml:space="preserve"> </w:t>
            </w:r>
            <w:r w:rsidR="0099056A" w:rsidRPr="00F06D4E">
              <w:rPr>
                <w:rFonts w:ascii="Times New Roman" w:hAnsi="Times New Roman"/>
              </w:rPr>
              <w:t xml:space="preserve">     Yes     </w:t>
            </w:r>
            <w:r w:rsidR="00F74095">
              <w:rPr>
                <w:rFonts w:ascii="Times New Roman" w:hAnsi="Times New Roman"/>
              </w:rPr>
              <w:t xml:space="preserve">X </w:t>
            </w:r>
            <w:r w:rsidR="0099056A" w:rsidRPr="00F06D4E">
              <w:rPr>
                <w:rFonts w:ascii="Times New Roman" w:hAnsi="Times New Roman"/>
              </w:rPr>
              <w:t>No    Date: __________________</w:t>
            </w:r>
          </w:p>
          <w:p w:rsidR="0099056A" w:rsidRPr="00F06D4E" w:rsidRDefault="0099056A" w:rsidP="00D021E2">
            <w:pPr>
              <w:pStyle w:val="BodyText"/>
              <w:rPr>
                <w:rFonts w:ascii="Times New Roman" w:hAnsi="Times New Roman"/>
              </w:rPr>
            </w:pPr>
            <w:r w:rsidRPr="00F06D4E">
              <w:rPr>
                <w:rFonts w:ascii="Times New Roman" w:hAnsi="Times New Roman"/>
              </w:rPr>
              <w:t xml:space="preserve">Mid-Evaluation Report </w:t>
            </w:r>
            <w:r w:rsidRPr="00F06D4E">
              <w:rPr>
                <w:rFonts w:ascii="Times New Roman" w:hAnsi="Times New Roman" w:cs="Times New Roman"/>
                <w:bCs/>
                <w:i/>
                <w:iCs/>
                <w:snapToGrid w:val="0"/>
                <w:lang w:val="en-GB"/>
              </w:rPr>
              <w:t>– if applicable please attach</w:t>
            </w:r>
            <w:r w:rsidRPr="00F06D4E">
              <w:rPr>
                <w:rFonts w:ascii="Times New Roman" w:hAnsi="Times New Roman"/>
                <w:b/>
              </w:rPr>
              <w:t xml:space="preserve">          </w:t>
            </w:r>
          </w:p>
          <w:p w:rsidR="0099056A" w:rsidRPr="00F06D4E" w:rsidRDefault="0051577A" w:rsidP="00D021E2">
            <w:pPr>
              <w:pStyle w:val="BodyText"/>
              <w:rPr>
                <w:rFonts w:ascii="Times New Roman" w:hAnsi="Times New Roman"/>
              </w:rPr>
            </w:pPr>
            <w:r w:rsidRPr="0051577A">
              <w:rPr>
                <w:noProof/>
              </w:rPr>
              <w:pict>
                <v:rect id="_x0000_s1029" style="position:absolute;margin-left:-.7pt;margin-top:1.65pt;width:7.15pt;height:7.15pt;z-index:251656704"/>
              </w:pict>
            </w:r>
            <w:r w:rsidR="0099056A" w:rsidRPr="00F06D4E">
              <w:rPr>
                <w:rFonts w:ascii="Times New Roman" w:hAnsi="Times New Roman"/>
              </w:rPr>
              <w:t xml:space="preserve">      Yes      </w:t>
            </w:r>
            <w:r w:rsidR="00F74095">
              <w:rPr>
                <w:rFonts w:ascii="Times New Roman" w:hAnsi="Times New Roman"/>
              </w:rPr>
              <w:t>X</w:t>
            </w:r>
            <w:r w:rsidR="0099056A" w:rsidRPr="00F06D4E">
              <w:rPr>
                <w:rFonts w:ascii="Times New Roman" w:hAnsi="Times New Roman"/>
              </w:rPr>
              <w:t xml:space="preserve">    No    Date: __________________</w:t>
            </w:r>
          </w:p>
        </w:tc>
        <w:tc>
          <w:tcPr>
            <w:tcW w:w="270" w:type="dxa"/>
            <w:vMerge/>
            <w:tcBorders>
              <w:left w:val="single" w:sz="4" w:space="0" w:color="auto"/>
              <w:right w:val="single" w:sz="4" w:space="0" w:color="auto"/>
            </w:tcBorders>
          </w:tcPr>
          <w:p w:rsidR="0099056A" w:rsidRPr="00716420" w:rsidRDefault="0099056A" w:rsidP="00D021E2">
            <w:pPr>
              <w:pStyle w:val="BodyText"/>
              <w:rPr>
                <w:rFonts w:ascii="Times New Roman" w:hAnsi="Times New Roman"/>
              </w:rPr>
            </w:pPr>
          </w:p>
        </w:tc>
        <w:tc>
          <w:tcPr>
            <w:tcW w:w="4860" w:type="dxa"/>
            <w:tcBorders>
              <w:left w:val="single" w:sz="4" w:space="0" w:color="auto"/>
              <w:right w:val="single" w:sz="4" w:space="0" w:color="auto"/>
            </w:tcBorders>
          </w:tcPr>
          <w:p w:rsidR="00AC4B85" w:rsidRPr="00F06D4E" w:rsidRDefault="0099056A" w:rsidP="00D021E2">
            <w:pPr>
              <w:numPr>
                <w:ilvl w:val="0"/>
                <w:numId w:val="12"/>
              </w:numPr>
              <w:ind w:left="342"/>
              <w:rPr>
                <w:sz w:val="20"/>
                <w:szCs w:val="20"/>
                <w:lang w:val="en-GB"/>
              </w:rPr>
            </w:pPr>
            <w:r w:rsidRPr="00F06D4E">
              <w:rPr>
                <w:sz w:val="20"/>
                <w:szCs w:val="20"/>
                <w:lang w:val="en-GB"/>
              </w:rPr>
              <w:t xml:space="preserve">Name: </w:t>
            </w:r>
            <w:r w:rsidR="00F74095">
              <w:rPr>
                <w:sz w:val="20"/>
                <w:szCs w:val="20"/>
                <w:lang w:val="en-GB"/>
              </w:rPr>
              <w:t>Pem Chuki Wangdi</w:t>
            </w:r>
          </w:p>
          <w:p w:rsidR="0099056A" w:rsidRPr="00F06D4E" w:rsidRDefault="0099056A" w:rsidP="00F74095">
            <w:pPr>
              <w:numPr>
                <w:ilvl w:val="0"/>
                <w:numId w:val="12"/>
              </w:numPr>
              <w:ind w:left="342" w:hanging="342"/>
              <w:rPr>
                <w:sz w:val="20"/>
                <w:szCs w:val="20"/>
                <w:lang w:val="en-GB"/>
              </w:rPr>
            </w:pPr>
            <w:r w:rsidRPr="00F06D4E">
              <w:rPr>
                <w:sz w:val="20"/>
                <w:szCs w:val="20"/>
                <w:lang w:val="en-GB"/>
              </w:rPr>
              <w:t xml:space="preserve">Title: </w:t>
            </w:r>
            <w:r w:rsidR="00F74095">
              <w:rPr>
                <w:sz w:val="20"/>
                <w:szCs w:val="20"/>
                <w:lang w:val="en-GB"/>
              </w:rPr>
              <w:t>Head, Management Support Unit</w:t>
            </w:r>
          </w:p>
          <w:p w:rsidR="0099056A" w:rsidRPr="00F06D4E" w:rsidRDefault="0099056A" w:rsidP="00D021E2">
            <w:pPr>
              <w:numPr>
                <w:ilvl w:val="0"/>
                <w:numId w:val="12"/>
              </w:numPr>
              <w:ind w:left="342"/>
              <w:rPr>
                <w:sz w:val="20"/>
                <w:szCs w:val="20"/>
                <w:lang w:val="en-GB"/>
              </w:rPr>
            </w:pPr>
            <w:r w:rsidRPr="00F06D4E">
              <w:rPr>
                <w:sz w:val="20"/>
                <w:szCs w:val="20"/>
                <w:lang w:val="en-GB"/>
              </w:rPr>
              <w:t xml:space="preserve">Participating Organization: </w:t>
            </w:r>
            <w:r w:rsidR="00F74095">
              <w:rPr>
                <w:sz w:val="20"/>
                <w:szCs w:val="20"/>
                <w:lang w:val="en-GB"/>
              </w:rPr>
              <w:t>UNDP</w:t>
            </w:r>
          </w:p>
          <w:p w:rsidR="0099056A" w:rsidRPr="00F06D4E" w:rsidRDefault="0099056A" w:rsidP="00D021E2">
            <w:pPr>
              <w:pStyle w:val="BodyText"/>
              <w:numPr>
                <w:ilvl w:val="0"/>
                <w:numId w:val="12"/>
              </w:numPr>
              <w:spacing w:after="120"/>
              <w:ind w:left="342"/>
              <w:rPr>
                <w:rFonts w:ascii="Times New Roman" w:hAnsi="Times New Roman"/>
                <w:b/>
                <w:bCs/>
                <w:snapToGrid w:val="0"/>
                <w:kern w:val="32"/>
              </w:rPr>
            </w:pPr>
            <w:r w:rsidRPr="00F06D4E">
              <w:rPr>
                <w:rFonts w:ascii="Times New Roman" w:hAnsi="Times New Roman"/>
              </w:rPr>
              <w:t xml:space="preserve">Email address: </w:t>
            </w:r>
            <w:r w:rsidR="00F74095">
              <w:rPr>
                <w:rFonts w:ascii="Times New Roman" w:hAnsi="Times New Roman"/>
              </w:rPr>
              <w:t>pem.wangdi@undp.org</w:t>
            </w:r>
          </w:p>
        </w:tc>
      </w:tr>
    </w:tbl>
    <w:p w:rsidR="0099056A" w:rsidRPr="00716420" w:rsidRDefault="0099056A" w:rsidP="00D021E2"/>
    <w:p w:rsidR="0099056A" w:rsidRDefault="0099056A" w:rsidP="00D021E2">
      <w:pPr>
        <w:pStyle w:val="Heading1"/>
        <w:numPr>
          <w:ilvl w:val="0"/>
          <w:numId w:val="1"/>
        </w:numPr>
        <w:tabs>
          <w:tab w:val="clear" w:pos="1080"/>
          <w:tab w:val="left" w:pos="360"/>
        </w:tabs>
        <w:ind w:left="360" w:hanging="360"/>
        <w:jc w:val="left"/>
        <w:rPr>
          <w:rFonts w:ascii="Times New Roman" w:hAnsi="Times New Roman"/>
          <w:sz w:val="24"/>
          <w:szCs w:val="24"/>
        </w:rPr>
      </w:pPr>
      <w:bookmarkStart w:id="2" w:name="_Toc249364483"/>
      <w:r w:rsidRPr="00716420">
        <w:rPr>
          <w:rFonts w:ascii="Times New Roman" w:hAnsi="Times New Roman"/>
          <w:sz w:val="24"/>
          <w:szCs w:val="24"/>
        </w:rPr>
        <w:t>Purpose</w:t>
      </w:r>
      <w:bookmarkEnd w:id="2"/>
    </w:p>
    <w:p w:rsidR="0096472B" w:rsidRDefault="0096472B" w:rsidP="0096472B">
      <w:pPr>
        <w:rPr>
          <w:lang w:eastAsia="ja-JP"/>
        </w:rPr>
      </w:pPr>
    </w:p>
    <w:p w:rsidR="0096472B" w:rsidRPr="00F74095" w:rsidRDefault="0096472B" w:rsidP="00F74095">
      <w:pPr>
        <w:tabs>
          <w:tab w:val="left" w:pos="0"/>
        </w:tabs>
        <w:jc w:val="both"/>
      </w:pPr>
      <w:r w:rsidRPr="005D4494">
        <w:t xml:space="preserve">The purpose of the support is to provide supplementary fund to the on-going activities related </w:t>
      </w:r>
      <w:r w:rsidR="00F74095">
        <w:t xml:space="preserve">to increasing access to and delivery of quality health services for reproductive and maternal health, newborn care, </w:t>
      </w:r>
      <w:proofErr w:type="gramStart"/>
      <w:r w:rsidR="00F74095">
        <w:t>nutrition</w:t>
      </w:r>
      <w:proofErr w:type="gramEnd"/>
      <w:r w:rsidR="00F74095">
        <w:rPr>
          <w:i/>
        </w:rPr>
        <w:t xml:space="preserve"> </w:t>
      </w:r>
      <w:r w:rsidR="00F74095">
        <w:t>including infant and young child feeding, vaccine preventable diseases; and monitoring and supervision under the overall UNDAF Framework.</w:t>
      </w:r>
    </w:p>
    <w:p w:rsidR="0096472B" w:rsidRPr="005D4494" w:rsidRDefault="0096472B" w:rsidP="0096472B"/>
    <w:p w:rsidR="00690A40" w:rsidRPr="00690A40" w:rsidRDefault="00690A40" w:rsidP="0063744E">
      <w:pPr>
        <w:jc w:val="both"/>
        <w:rPr>
          <w:b/>
        </w:rPr>
      </w:pPr>
      <w:r>
        <w:t xml:space="preserve">UNICEF and UNFPA jointly supported the Reproductive Health Assessment contributing to </w:t>
      </w:r>
      <w:r>
        <w:rPr>
          <w:b/>
        </w:rPr>
        <w:t xml:space="preserve">CT Output1.1: </w:t>
      </w:r>
      <w:r>
        <w:rPr>
          <w:i/>
        </w:rPr>
        <w:t xml:space="preserve">“Reproductive health and safe motherhood policies and strategies reviewed and revised” </w:t>
      </w:r>
      <w:r>
        <w:t xml:space="preserve">under </w:t>
      </w:r>
      <w:r w:rsidRPr="00690A40">
        <w:rPr>
          <w:i/>
        </w:rPr>
        <w:t>“</w:t>
      </w:r>
      <w:r>
        <w:rPr>
          <w:i/>
        </w:rPr>
        <w:t xml:space="preserve">Capacity of </w:t>
      </w:r>
      <w:proofErr w:type="spellStart"/>
      <w:r>
        <w:rPr>
          <w:i/>
        </w:rPr>
        <w:t>RGoB</w:t>
      </w:r>
      <w:proofErr w:type="spellEnd"/>
      <w:r>
        <w:rPr>
          <w:i/>
        </w:rPr>
        <w:t xml:space="preserve"> to formulate and implement evidence based policies and strategies that create an enabling environment for reproductive health, maternal and child health, STI, HIV/AIDS, TB and malaria </w:t>
      </w:r>
      <w:proofErr w:type="spellStart"/>
      <w:r>
        <w:rPr>
          <w:i/>
        </w:rPr>
        <w:t>programmes</w:t>
      </w:r>
      <w:proofErr w:type="spellEnd"/>
      <w:r>
        <w:rPr>
          <w:i/>
        </w:rPr>
        <w:t xml:space="preserve"> strengthened.”</w:t>
      </w:r>
    </w:p>
    <w:p w:rsidR="00690A40" w:rsidRDefault="00690A40" w:rsidP="0063744E">
      <w:pPr>
        <w:jc w:val="both"/>
        <w:rPr>
          <w:b/>
        </w:rPr>
      </w:pPr>
    </w:p>
    <w:p w:rsidR="0096472B" w:rsidRPr="0063744E" w:rsidRDefault="00F74095" w:rsidP="00F74095">
      <w:pPr>
        <w:jc w:val="both"/>
        <w:rPr>
          <w:bCs/>
          <w:iCs/>
        </w:rPr>
      </w:pPr>
      <w:r>
        <w:t xml:space="preserve">UNICEF and </w:t>
      </w:r>
      <w:r w:rsidR="00690A40">
        <w:t>UNFPA support to the Ministry of Health for enhancing its quality service provision contributed to</w:t>
      </w:r>
      <w:r w:rsidR="00690A40" w:rsidRPr="0063744E">
        <w:rPr>
          <w:b/>
        </w:rPr>
        <w:t xml:space="preserve"> </w:t>
      </w:r>
      <w:r w:rsidR="00690A40">
        <w:rPr>
          <w:b/>
        </w:rPr>
        <w:t xml:space="preserve">CT </w:t>
      </w:r>
      <w:r w:rsidR="00690A40" w:rsidRPr="0063744E">
        <w:rPr>
          <w:b/>
        </w:rPr>
        <w:t xml:space="preserve">Output </w:t>
      </w:r>
      <w:r w:rsidR="000D3832" w:rsidRPr="0063744E">
        <w:rPr>
          <w:b/>
        </w:rPr>
        <w:t>2.1</w:t>
      </w:r>
      <w:r w:rsidR="0096472B" w:rsidRPr="0063744E">
        <w:rPr>
          <w:b/>
        </w:rPr>
        <w:t>:</w:t>
      </w:r>
      <w:r w:rsidR="0096472B" w:rsidRPr="005D4494">
        <w:t xml:space="preserve"> </w:t>
      </w:r>
      <w:r w:rsidR="0096472B" w:rsidRPr="0063744E">
        <w:rPr>
          <w:i/>
        </w:rPr>
        <w:t>“</w:t>
      </w:r>
      <w:r w:rsidR="000D3832" w:rsidRPr="0063744E">
        <w:rPr>
          <w:i/>
        </w:rPr>
        <w:t xml:space="preserve">Improved availability of essential commodities, equipment and modification of facilities for RH and MCH </w:t>
      </w:r>
      <w:proofErr w:type="spellStart"/>
      <w:r w:rsidR="000D3832" w:rsidRPr="0063744E">
        <w:rPr>
          <w:i/>
        </w:rPr>
        <w:t>programmes</w:t>
      </w:r>
      <w:proofErr w:type="spellEnd"/>
      <w:r w:rsidR="00DC3E2C" w:rsidRPr="0063744E">
        <w:rPr>
          <w:i/>
        </w:rPr>
        <w:t>;</w:t>
      </w:r>
      <w:r w:rsidR="0096472B" w:rsidRPr="0063744E">
        <w:rPr>
          <w:i/>
        </w:rPr>
        <w:t>”</w:t>
      </w:r>
      <w:r w:rsidR="00DC3E2C" w:rsidRPr="0063744E">
        <w:rPr>
          <w:i/>
        </w:rPr>
        <w:t xml:space="preserve"> </w:t>
      </w:r>
      <w:r w:rsidR="000D3832" w:rsidRPr="0063744E">
        <w:rPr>
          <w:b/>
        </w:rPr>
        <w:t xml:space="preserve">CT Output 2.2: </w:t>
      </w:r>
      <w:r w:rsidR="000D3832" w:rsidRPr="0063744E">
        <w:rPr>
          <w:i/>
        </w:rPr>
        <w:t>“Capacity of health managers and providers enhanced to deliver comprehensive and client oriented services on RH, MCH and youth friendly services,”</w:t>
      </w:r>
      <w:r w:rsidR="00DC3E2C" w:rsidRPr="0063744E">
        <w:rPr>
          <w:i/>
        </w:rPr>
        <w:t xml:space="preserve"> </w:t>
      </w:r>
      <w:r w:rsidR="0096472B" w:rsidRPr="005D4494">
        <w:t xml:space="preserve"> </w:t>
      </w:r>
      <w:r>
        <w:t xml:space="preserve">and UNICEF contributed to </w:t>
      </w:r>
      <w:r>
        <w:rPr>
          <w:b/>
        </w:rPr>
        <w:t xml:space="preserve">CT Output 2.2a: </w:t>
      </w:r>
      <w:r>
        <w:rPr>
          <w:i/>
        </w:rPr>
        <w:t>“All hospital and BHU health workers provide quality</w:t>
      </w:r>
      <w:r>
        <w:t xml:space="preserve"> </w:t>
      </w:r>
      <w:r>
        <w:rPr>
          <w:i/>
        </w:rPr>
        <w:t xml:space="preserve">IMNCI, immunization services and nutrition package (vitamin A, iron and folic acid, supplements, </w:t>
      </w:r>
      <w:proofErr w:type="spellStart"/>
      <w:r>
        <w:rPr>
          <w:i/>
        </w:rPr>
        <w:t>deworming</w:t>
      </w:r>
      <w:proofErr w:type="spellEnd"/>
      <w:r>
        <w:rPr>
          <w:i/>
        </w:rPr>
        <w:t xml:space="preserve">, growth monitoring, IYCF); </w:t>
      </w:r>
      <w:r>
        <w:t xml:space="preserve">and </w:t>
      </w:r>
      <w:r>
        <w:rPr>
          <w:b/>
        </w:rPr>
        <w:t>CT Output 2.2b</w:t>
      </w:r>
      <w:r>
        <w:t xml:space="preserve">: </w:t>
      </w:r>
      <w:r>
        <w:rPr>
          <w:i/>
        </w:rPr>
        <w:t xml:space="preserve">“Increased number of infants receive exclusive breastfeeding and proper feeding practices;” </w:t>
      </w:r>
      <w:r w:rsidR="0096472B" w:rsidRPr="005D4494">
        <w:t xml:space="preserve">under </w:t>
      </w:r>
      <w:r w:rsidR="0096472B" w:rsidRPr="0063744E">
        <w:rPr>
          <w:b/>
        </w:rPr>
        <w:t xml:space="preserve">CT Outcome </w:t>
      </w:r>
      <w:r w:rsidR="000D3832" w:rsidRPr="0063744E">
        <w:rPr>
          <w:b/>
        </w:rPr>
        <w:t>2</w:t>
      </w:r>
      <w:r w:rsidR="0096472B" w:rsidRPr="0063744E">
        <w:rPr>
          <w:b/>
        </w:rPr>
        <w:t>:</w:t>
      </w:r>
      <w:r w:rsidR="0096472B" w:rsidRPr="005D4494">
        <w:t xml:space="preserve"> </w:t>
      </w:r>
      <w:r w:rsidR="00DC3E2C" w:rsidRPr="0063744E">
        <w:rPr>
          <w:i/>
        </w:rPr>
        <w:t>“</w:t>
      </w:r>
      <w:r w:rsidR="000D3832" w:rsidRPr="0063744E">
        <w:rPr>
          <w:i/>
        </w:rPr>
        <w:t xml:space="preserve">Capacity of the </w:t>
      </w:r>
      <w:proofErr w:type="spellStart"/>
      <w:r w:rsidR="000D3832" w:rsidRPr="0063744E">
        <w:rPr>
          <w:i/>
        </w:rPr>
        <w:t>RGoB</w:t>
      </w:r>
      <w:proofErr w:type="spellEnd"/>
      <w:r w:rsidR="000D3832" w:rsidRPr="0063744E">
        <w:rPr>
          <w:i/>
        </w:rPr>
        <w:t xml:space="preserve"> strengthened to increase access to and delivery quality health services for all including reproductive health, maternal and child health and nutrition, TB, malaria and other non-communicable diseases.</w:t>
      </w:r>
      <w:r w:rsidR="0096472B" w:rsidRPr="0063744E">
        <w:rPr>
          <w:i/>
        </w:rPr>
        <w:t>”</w:t>
      </w:r>
    </w:p>
    <w:p w:rsidR="0096472B" w:rsidRDefault="0096472B" w:rsidP="0096472B">
      <w:pPr>
        <w:rPr>
          <w:lang w:eastAsia="ja-JP"/>
        </w:rPr>
      </w:pPr>
    </w:p>
    <w:p w:rsidR="0099056A" w:rsidRPr="00716420" w:rsidRDefault="0099056A" w:rsidP="00D021E2">
      <w:pPr>
        <w:pStyle w:val="BodyText"/>
        <w:ind w:left="720"/>
        <w:rPr>
          <w:rFonts w:ascii="Times New Roman" w:hAnsi="Times New Roman"/>
          <w:sz w:val="24"/>
        </w:rPr>
      </w:pPr>
    </w:p>
    <w:p w:rsidR="0099056A" w:rsidRPr="00716420" w:rsidRDefault="0099056A" w:rsidP="00D021E2">
      <w:pPr>
        <w:pStyle w:val="Heading1"/>
        <w:numPr>
          <w:ilvl w:val="0"/>
          <w:numId w:val="1"/>
        </w:numPr>
        <w:tabs>
          <w:tab w:val="clear" w:pos="1080"/>
          <w:tab w:val="left" w:pos="360"/>
        </w:tabs>
        <w:ind w:left="360" w:hanging="360"/>
        <w:jc w:val="left"/>
        <w:rPr>
          <w:rFonts w:ascii="Times New Roman" w:hAnsi="Times New Roman"/>
          <w:sz w:val="24"/>
          <w:szCs w:val="24"/>
        </w:rPr>
      </w:pPr>
      <w:bookmarkStart w:id="3" w:name="_Toc249364484"/>
      <w:r w:rsidRPr="00716420">
        <w:rPr>
          <w:rFonts w:ascii="Times New Roman" w:hAnsi="Times New Roman"/>
          <w:sz w:val="24"/>
          <w:szCs w:val="24"/>
        </w:rPr>
        <w:t>Resources</w:t>
      </w:r>
      <w:bookmarkEnd w:id="3"/>
      <w:r w:rsidRPr="00716420">
        <w:rPr>
          <w:rFonts w:ascii="Times New Roman" w:hAnsi="Times New Roman"/>
          <w:sz w:val="24"/>
          <w:szCs w:val="24"/>
        </w:rPr>
        <w:t xml:space="preserve"> </w:t>
      </w:r>
    </w:p>
    <w:p w:rsidR="002004A8" w:rsidRDefault="002004A8" w:rsidP="002004A8">
      <w:pPr>
        <w:pStyle w:val="BodyText"/>
        <w:ind w:left="360"/>
        <w:rPr>
          <w:rFonts w:ascii="Times New Roman" w:hAnsi="Times New Roman" w:cs="Times New Roman"/>
          <w:i/>
          <w:sz w:val="24"/>
          <w:szCs w:val="24"/>
        </w:rPr>
      </w:pPr>
      <w:r>
        <w:rPr>
          <w:rFonts w:ascii="Times New Roman" w:hAnsi="Times New Roman" w:cs="Times New Roman"/>
          <w:i/>
          <w:sz w:val="24"/>
          <w:szCs w:val="24"/>
        </w:rPr>
        <w:t xml:space="preserve">Budget Revisions: </w:t>
      </w:r>
    </w:p>
    <w:p w:rsidR="002004A8" w:rsidRDefault="002004A8" w:rsidP="002004A8">
      <w:pPr>
        <w:pStyle w:val="BodyText"/>
        <w:ind w:left="360"/>
        <w:rPr>
          <w:rFonts w:ascii="Times New Roman" w:hAnsi="Times New Roman" w:cs="Times New Roman"/>
          <w:i/>
          <w:sz w:val="24"/>
          <w:szCs w:val="24"/>
        </w:rPr>
      </w:pPr>
    </w:p>
    <w:p w:rsidR="002004A8" w:rsidRDefault="002004A8" w:rsidP="002004A8">
      <w:pPr>
        <w:pStyle w:val="BodyText"/>
        <w:rPr>
          <w:rFonts w:ascii="Times New Roman" w:hAnsi="Times New Roman" w:cs="Times New Roman"/>
          <w:sz w:val="24"/>
          <w:szCs w:val="24"/>
        </w:rPr>
      </w:pPr>
      <w:r>
        <w:rPr>
          <w:rFonts w:ascii="Times New Roman" w:hAnsi="Times New Roman" w:cs="Times New Roman"/>
          <w:sz w:val="24"/>
          <w:szCs w:val="24"/>
        </w:rPr>
        <w:t>The UN Bhutan Country Fund Steering Committee on 29</w:t>
      </w:r>
      <w:r w:rsidRPr="00780B58">
        <w:rPr>
          <w:rFonts w:ascii="Times New Roman" w:hAnsi="Times New Roman" w:cs="Times New Roman"/>
          <w:sz w:val="24"/>
          <w:szCs w:val="24"/>
          <w:vertAlign w:val="superscript"/>
        </w:rPr>
        <w:t>th</w:t>
      </w:r>
      <w:r>
        <w:rPr>
          <w:rFonts w:ascii="Times New Roman" w:hAnsi="Times New Roman" w:cs="Times New Roman"/>
          <w:sz w:val="24"/>
          <w:szCs w:val="24"/>
        </w:rPr>
        <w:t xml:space="preserve"> July 2010 endorsed the following requests for re-allocation of funds and no-cost extensions from UNDP and UNFPA:</w:t>
      </w:r>
    </w:p>
    <w:p w:rsidR="002004A8" w:rsidRDefault="002004A8" w:rsidP="002004A8">
      <w:pPr>
        <w:pStyle w:val="BodyText"/>
        <w:ind w:left="360"/>
        <w:rPr>
          <w:rFonts w:ascii="Times New Roman" w:hAnsi="Times New Roman" w:cs="Times New Roman"/>
          <w:sz w:val="24"/>
          <w:szCs w:val="24"/>
        </w:rPr>
      </w:pPr>
    </w:p>
    <w:p w:rsidR="002004A8" w:rsidRDefault="002004A8" w:rsidP="002004A8">
      <w:pPr>
        <w:pStyle w:val="BodyText"/>
        <w:numPr>
          <w:ilvl w:val="0"/>
          <w:numId w:val="10"/>
        </w:numPr>
        <w:rPr>
          <w:rFonts w:ascii="Times New Roman" w:hAnsi="Times New Roman" w:cs="Times New Roman"/>
          <w:sz w:val="24"/>
          <w:szCs w:val="24"/>
        </w:rPr>
      </w:pPr>
      <w:r>
        <w:rPr>
          <w:rFonts w:ascii="Times New Roman" w:hAnsi="Times New Roman" w:cs="Times New Roman"/>
          <w:sz w:val="24"/>
          <w:szCs w:val="24"/>
        </w:rPr>
        <w:t>Request from UNDP for reprogramming of unspent funds amounting to $24,745.04 under UNDAF Outcome# 4: Governance to cover over expenditures incurred by UNDP under UNDAF Outcome# 5: Environment ($ 3,742.35) and UNDAF Outcome# 1: Poverty ($ 21,002.69)</w:t>
      </w:r>
    </w:p>
    <w:p w:rsidR="002004A8" w:rsidRDefault="002004A8" w:rsidP="002004A8">
      <w:pPr>
        <w:pStyle w:val="BodyText"/>
        <w:numPr>
          <w:ilvl w:val="0"/>
          <w:numId w:val="10"/>
        </w:numPr>
        <w:rPr>
          <w:rFonts w:ascii="Times New Roman" w:hAnsi="Times New Roman" w:cs="Times New Roman"/>
          <w:sz w:val="24"/>
          <w:szCs w:val="24"/>
        </w:rPr>
      </w:pPr>
      <w:r>
        <w:rPr>
          <w:rFonts w:ascii="Times New Roman" w:hAnsi="Times New Roman" w:cs="Times New Roman"/>
          <w:sz w:val="24"/>
          <w:szCs w:val="24"/>
        </w:rPr>
        <w:t>Request from UNFPA for re-allocation of unspent funds amounting to $ 20,000 under UNDAF Outcome# 4: Governance to UNDAF Outcome# 2: Health.</w:t>
      </w:r>
    </w:p>
    <w:p w:rsidR="002004A8" w:rsidRPr="00780B58" w:rsidRDefault="002004A8" w:rsidP="002004A8">
      <w:pPr>
        <w:pStyle w:val="BodyText"/>
        <w:ind w:left="720"/>
        <w:rPr>
          <w:rFonts w:ascii="Times New Roman" w:hAnsi="Times New Roman" w:cs="Times New Roman"/>
          <w:sz w:val="24"/>
          <w:szCs w:val="24"/>
        </w:rPr>
      </w:pPr>
    </w:p>
    <w:p w:rsidR="002004A8" w:rsidRPr="005D4494" w:rsidRDefault="002004A8" w:rsidP="002004A8">
      <w:pPr>
        <w:pStyle w:val="BodyText"/>
        <w:ind w:left="360"/>
        <w:rPr>
          <w:rFonts w:ascii="Times New Roman" w:hAnsi="Times New Roman" w:cs="Times New Roman"/>
          <w:sz w:val="24"/>
          <w:szCs w:val="24"/>
          <w:highlight w:val="yellow"/>
        </w:rPr>
      </w:pPr>
      <w:r>
        <w:rPr>
          <w:rFonts w:ascii="Times New Roman" w:hAnsi="Times New Roman" w:cs="Times New Roman"/>
          <w:i/>
          <w:sz w:val="24"/>
          <w:szCs w:val="24"/>
        </w:rPr>
        <w:t>Good Practices and Constraints</w:t>
      </w:r>
    </w:p>
    <w:p w:rsidR="002004A8" w:rsidRDefault="002004A8" w:rsidP="002004A8">
      <w:pPr>
        <w:pStyle w:val="BodyText"/>
        <w:jc w:val="both"/>
        <w:rPr>
          <w:rFonts w:ascii="Times New Roman" w:hAnsi="Times New Roman" w:cs="Times New Roman"/>
          <w:sz w:val="24"/>
          <w:szCs w:val="24"/>
        </w:rPr>
      </w:pPr>
    </w:p>
    <w:p w:rsidR="002004A8" w:rsidRDefault="002004A8" w:rsidP="002004A8">
      <w:pPr>
        <w:pStyle w:val="BodyText"/>
        <w:jc w:val="both"/>
        <w:rPr>
          <w:rFonts w:ascii="Times New Roman" w:hAnsi="Times New Roman" w:cs="Times New Roman"/>
          <w:sz w:val="24"/>
          <w:szCs w:val="24"/>
          <w:lang w:val="en-GB"/>
        </w:rPr>
      </w:pPr>
      <w:r w:rsidRPr="0041713B">
        <w:rPr>
          <w:rFonts w:ascii="Times New Roman" w:hAnsi="Times New Roman" w:cs="Times New Roman"/>
          <w:sz w:val="24"/>
          <w:szCs w:val="24"/>
        </w:rPr>
        <w:t>In line with the</w:t>
      </w:r>
      <w:r w:rsidRPr="0041713B">
        <w:rPr>
          <w:rFonts w:ascii="Times New Roman" w:hAnsi="Times New Roman" w:cs="Times New Roman"/>
          <w:sz w:val="24"/>
          <w:szCs w:val="24"/>
          <w:lang w:val="en-GB"/>
        </w:rPr>
        <w:t xml:space="preserve"> UN General Assembly Resolution 56/201 on the triennial policy review of operational activities for development of the United Nations system, UNDP, UNICEF, UNFPA and WFP (UNDG </w:t>
      </w:r>
      <w:proofErr w:type="spellStart"/>
      <w:r w:rsidRPr="0041713B">
        <w:rPr>
          <w:rFonts w:ascii="Times New Roman" w:hAnsi="Times New Roman" w:cs="Times New Roman"/>
          <w:sz w:val="24"/>
          <w:szCs w:val="24"/>
          <w:lang w:val="en-GB"/>
        </w:rPr>
        <w:t>ExCom</w:t>
      </w:r>
      <w:proofErr w:type="spellEnd"/>
      <w:r w:rsidRPr="0041713B">
        <w:rPr>
          <w:rFonts w:ascii="Times New Roman" w:hAnsi="Times New Roman" w:cs="Times New Roman"/>
          <w:sz w:val="24"/>
          <w:szCs w:val="24"/>
          <w:lang w:val="en-GB"/>
        </w:rPr>
        <w:t xml:space="preserve"> Agencies) adopted</w:t>
      </w:r>
      <w:r w:rsidRPr="0041713B">
        <w:rPr>
          <w:rFonts w:ascii="Times New Roman" w:hAnsi="Times New Roman" w:cs="Times New Roman"/>
          <w:sz w:val="24"/>
          <w:szCs w:val="24"/>
          <w:lang w:val="en-GB" w:eastAsia="nl-NL"/>
        </w:rPr>
        <w:t xml:space="preserve"> a common operational framework</w:t>
      </w:r>
      <w:r>
        <w:rPr>
          <w:rFonts w:ascii="Times New Roman" w:hAnsi="Times New Roman" w:cs="Times New Roman"/>
          <w:sz w:val="24"/>
          <w:szCs w:val="24"/>
          <w:lang w:val="en-GB" w:eastAsia="nl-NL"/>
        </w:rPr>
        <w:t xml:space="preserve"> (known as the Harmonized Approach to Cash Transfers (HACT) Framework)</w:t>
      </w:r>
      <w:r w:rsidRPr="0041713B">
        <w:rPr>
          <w:rFonts w:ascii="Times New Roman" w:hAnsi="Times New Roman" w:cs="Times New Roman"/>
          <w:sz w:val="24"/>
          <w:szCs w:val="24"/>
          <w:lang w:val="en-GB" w:eastAsia="nl-NL"/>
        </w:rPr>
        <w:t xml:space="preserve"> for transferring cash to government and non-government Implementing Partner</w:t>
      </w:r>
      <w:r w:rsidRPr="0041713B">
        <w:rPr>
          <w:rFonts w:ascii="Times New Roman" w:hAnsi="Times New Roman" w:cs="Times New Roman"/>
          <w:color w:val="000000"/>
          <w:sz w:val="24"/>
          <w:szCs w:val="24"/>
          <w:lang w:val="en-GB" w:eastAsia="en-GB"/>
        </w:rPr>
        <w:t>s</w:t>
      </w:r>
      <w:r w:rsidRPr="0041713B">
        <w:rPr>
          <w:rFonts w:ascii="Times New Roman" w:hAnsi="Times New Roman" w:cs="Times New Roman"/>
          <w:sz w:val="24"/>
          <w:szCs w:val="24"/>
          <w:lang w:val="en-GB"/>
        </w:rPr>
        <w:t xml:space="preserve">. Its implementation </w:t>
      </w:r>
      <w:r>
        <w:rPr>
          <w:rFonts w:ascii="Times New Roman" w:hAnsi="Times New Roman" w:cs="Times New Roman"/>
          <w:sz w:val="24"/>
          <w:szCs w:val="24"/>
          <w:lang w:val="en-GB"/>
        </w:rPr>
        <w:t>is expected to</w:t>
      </w:r>
      <w:r w:rsidRPr="0041713B">
        <w:rPr>
          <w:rFonts w:ascii="Times New Roman" w:hAnsi="Times New Roman" w:cs="Times New Roman"/>
          <w:sz w:val="24"/>
          <w:szCs w:val="24"/>
          <w:lang w:val="en-GB"/>
        </w:rPr>
        <w:t xml:space="preserve"> significantly reduce transaction costs and lessen the burden that the multiplicity of UN procedures and rules creates for its partners. </w:t>
      </w:r>
      <w:r>
        <w:rPr>
          <w:rFonts w:ascii="Times New Roman" w:hAnsi="Times New Roman" w:cs="Times New Roman"/>
          <w:sz w:val="24"/>
          <w:szCs w:val="24"/>
          <w:lang w:val="en-GB"/>
        </w:rPr>
        <w:t>As a HACT compliant country since 2008, the UN System (namely UNDP, UNICEF, UNFPA and WFP) in collaboration with the Royal Government of Bhutan (</w:t>
      </w:r>
      <w:proofErr w:type="spellStart"/>
      <w:r>
        <w:rPr>
          <w:rFonts w:ascii="Times New Roman" w:hAnsi="Times New Roman" w:cs="Times New Roman"/>
          <w:sz w:val="24"/>
          <w:szCs w:val="24"/>
          <w:lang w:val="en-GB"/>
        </w:rPr>
        <w:t>RGoB</w:t>
      </w:r>
      <w:proofErr w:type="spellEnd"/>
      <w:r>
        <w:rPr>
          <w:rFonts w:ascii="Times New Roman" w:hAnsi="Times New Roman" w:cs="Times New Roman"/>
          <w:sz w:val="24"/>
          <w:szCs w:val="24"/>
          <w:lang w:val="en-GB"/>
        </w:rPr>
        <w:t xml:space="preserve">) have taken the necessary steps to ensure the effective implementation of the Framework in the country. </w:t>
      </w:r>
    </w:p>
    <w:p w:rsidR="002004A8" w:rsidRDefault="002004A8" w:rsidP="002004A8">
      <w:pPr>
        <w:pStyle w:val="BodyText"/>
        <w:jc w:val="both"/>
        <w:rPr>
          <w:rFonts w:ascii="Times New Roman" w:hAnsi="Times New Roman" w:cs="Times New Roman"/>
          <w:sz w:val="24"/>
          <w:szCs w:val="24"/>
          <w:lang w:val="en-GB"/>
        </w:rPr>
      </w:pPr>
    </w:p>
    <w:p w:rsidR="002004A8" w:rsidRDefault="002004A8" w:rsidP="002004A8">
      <w:pPr>
        <w:pStyle w:val="BodyTex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With the goal of reducing transaction costs on part of the Government and to address the issues related to the fund request and release to and from the UN agencies to the Implementing Partners, the UN agencies with the Ministry of Finance and the Gross National Happiness Commission developed a guidance note on the Financial Procedures for UN Assisted Projects directed towards streamlining and shortening the fund request and release process between the UN agencies and the Implementing partners. In addition, in a move towards using existing government reporting procedures, the UN agencies have adopted the Standard Progress Report template used by the government as the standard reporting format for the UN.  Furthermore, in a strategic move to address problems related to the non-matching of financial years between the UN and the Government, the UN agencies adopted the 18 month rolling work plan, covering the months of January through June of the following year. This allows the Implementing Partners to incorporate UN supported activities into their respective sector work plans which follows the Government’s fiscal year. </w:t>
      </w:r>
    </w:p>
    <w:p w:rsidR="002004A8" w:rsidRDefault="002004A8" w:rsidP="002004A8">
      <w:pPr>
        <w:pStyle w:val="BodyText"/>
        <w:jc w:val="both"/>
        <w:rPr>
          <w:rFonts w:ascii="Times New Roman" w:hAnsi="Times New Roman" w:cs="Times New Roman"/>
          <w:sz w:val="24"/>
          <w:szCs w:val="24"/>
          <w:lang w:val="en-GB"/>
        </w:rPr>
      </w:pPr>
    </w:p>
    <w:p w:rsidR="002004A8" w:rsidRDefault="002004A8" w:rsidP="002004A8">
      <w:pPr>
        <w:pStyle w:val="BodyText"/>
        <w:jc w:val="both"/>
        <w:rPr>
          <w:rFonts w:ascii="Times New Roman" w:hAnsi="Times New Roman" w:cs="Times New Roman"/>
          <w:sz w:val="24"/>
          <w:szCs w:val="24"/>
          <w:lang w:val="en-GB"/>
        </w:rPr>
      </w:pPr>
      <w:r>
        <w:rPr>
          <w:rFonts w:ascii="Times New Roman" w:hAnsi="Times New Roman" w:cs="Times New Roman"/>
          <w:sz w:val="24"/>
          <w:szCs w:val="24"/>
          <w:lang w:val="en-GB"/>
        </w:rPr>
        <w:t>Yearly trainings are organized for both implementing partners and UN agencies to refresh and redress problems faced in financial transactions.</w:t>
      </w:r>
    </w:p>
    <w:p w:rsidR="002004A8" w:rsidRPr="005D4494" w:rsidRDefault="002004A8" w:rsidP="002004A8">
      <w:pPr>
        <w:pStyle w:val="BodyText"/>
        <w:rPr>
          <w:rFonts w:ascii="Times New Roman" w:hAnsi="Times New Roman" w:cs="Times New Roman"/>
          <w:b/>
          <w:sz w:val="24"/>
          <w:szCs w:val="24"/>
          <w:highlight w:val="yellow"/>
        </w:rPr>
      </w:pPr>
    </w:p>
    <w:p w:rsidR="002004A8" w:rsidRPr="005D4494" w:rsidRDefault="002004A8" w:rsidP="002004A8">
      <w:pPr>
        <w:pStyle w:val="Heading1"/>
        <w:numPr>
          <w:ilvl w:val="0"/>
          <w:numId w:val="1"/>
        </w:numPr>
        <w:tabs>
          <w:tab w:val="clear" w:pos="1080"/>
          <w:tab w:val="left" w:pos="360"/>
          <w:tab w:val="num" w:pos="990"/>
        </w:tabs>
        <w:ind w:left="360" w:hanging="360"/>
        <w:jc w:val="left"/>
        <w:rPr>
          <w:rFonts w:ascii="Times New Roman" w:hAnsi="Times New Roman"/>
          <w:sz w:val="24"/>
          <w:szCs w:val="24"/>
        </w:rPr>
      </w:pPr>
      <w:bookmarkStart w:id="4" w:name="_Toc249364485"/>
      <w:r w:rsidRPr="005D4494">
        <w:rPr>
          <w:rFonts w:ascii="Times New Roman" w:hAnsi="Times New Roman"/>
          <w:sz w:val="24"/>
          <w:szCs w:val="24"/>
        </w:rPr>
        <w:t>Implementation and Monitoring Arrangements</w:t>
      </w:r>
      <w:bookmarkEnd w:id="4"/>
    </w:p>
    <w:p w:rsidR="002004A8" w:rsidRPr="005D4494" w:rsidRDefault="002004A8" w:rsidP="002004A8">
      <w:pPr>
        <w:pStyle w:val="BodyText"/>
        <w:ind w:left="720"/>
        <w:jc w:val="both"/>
        <w:rPr>
          <w:rFonts w:ascii="Times New Roman" w:hAnsi="Times New Roman" w:cs="Times New Roman"/>
          <w:bCs/>
          <w:sz w:val="24"/>
          <w:szCs w:val="24"/>
          <w:highlight w:val="yellow"/>
        </w:rPr>
      </w:pPr>
    </w:p>
    <w:p w:rsidR="002004A8" w:rsidRDefault="002004A8" w:rsidP="002004A8">
      <w:pPr>
        <w:pStyle w:val="BodyText"/>
        <w:ind w:left="90"/>
        <w:jc w:val="both"/>
        <w:rPr>
          <w:rFonts w:ascii="Times New Roman" w:hAnsi="Times New Roman" w:cs="Times New Roman"/>
          <w:bCs/>
          <w:sz w:val="24"/>
          <w:szCs w:val="24"/>
        </w:rPr>
      </w:pPr>
      <w:r>
        <w:rPr>
          <w:rFonts w:ascii="Times New Roman" w:hAnsi="Times New Roman" w:cs="Times New Roman"/>
          <w:bCs/>
          <w:sz w:val="24"/>
          <w:szCs w:val="24"/>
        </w:rPr>
        <w:t xml:space="preserve">The UN in Bhutan operates in a National Implementation (NIM) environment. </w:t>
      </w:r>
      <w:r w:rsidRPr="005D4494">
        <w:rPr>
          <w:rFonts w:ascii="Times New Roman" w:hAnsi="Times New Roman" w:cs="Times New Roman"/>
          <w:bCs/>
          <w:sz w:val="24"/>
          <w:szCs w:val="24"/>
        </w:rPr>
        <w:t xml:space="preserve">The Government implements the projects and accordingly handles almost all procurement related activities within their respective </w:t>
      </w:r>
      <w:proofErr w:type="spellStart"/>
      <w:r w:rsidRPr="005D4494">
        <w:rPr>
          <w:rFonts w:ascii="Times New Roman" w:hAnsi="Times New Roman" w:cs="Times New Roman"/>
          <w:bCs/>
          <w:sz w:val="24"/>
          <w:szCs w:val="24"/>
        </w:rPr>
        <w:t>programmes</w:t>
      </w:r>
      <w:proofErr w:type="spellEnd"/>
      <w:r w:rsidRPr="005D4494">
        <w:rPr>
          <w:rFonts w:ascii="Times New Roman" w:hAnsi="Times New Roman" w:cs="Times New Roman"/>
          <w:bCs/>
          <w:sz w:val="24"/>
          <w:szCs w:val="24"/>
        </w:rPr>
        <w:t xml:space="preserve">. </w:t>
      </w:r>
      <w:r>
        <w:rPr>
          <w:rFonts w:ascii="Times New Roman" w:hAnsi="Times New Roman" w:cs="Times New Roman"/>
          <w:bCs/>
          <w:sz w:val="24"/>
          <w:szCs w:val="24"/>
        </w:rPr>
        <w:t>The UN agencies (namely UNDP, UNICEF, UNFPA and WFP)</w:t>
      </w:r>
      <w:r w:rsidRPr="005D4494">
        <w:rPr>
          <w:rFonts w:ascii="Times New Roman" w:hAnsi="Times New Roman" w:cs="Times New Roman"/>
          <w:bCs/>
          <w:sz w:val="24"/>
          <w:szCs w:val="24"/>
        </w:rPr>
        <w:t xml:space="preserve"> conducts periodic monitoring through </w:t>
      </w:r>
      <w:r>
        <w:rPr>
          <w:rFonts w:ascii="Times New Roman" w:hAnsi="Times New Roman" w:cs="Times New Roman"/>
          <w:bCs/>
          <w:sz w:val="24"/>
          <w:szCs w:val="24"/>
        </w:rPr>
        <w:t>assurance activities required under the HACT Framework such as field visits and</w:t>
      </w:r>
      <w:r w:rsidRPr="005D4494">
        <w:rPr>
          <w:rFonts w:ascii="Times New Roman" w:hAnsi="Times New Roman" w:cs="Times New Roman"/>
          <w:bCs/>
          <w:sz w:val="24"/>
          <w:szCs w:val="24"/>
        </w:rPr>
        <w:t xml:space="preserve"> onsite reviews </w:t>
      </w:r>
      <w:r>
        <w:rPr>
          <w:rFonts w:ascii="Times New Roman" w:hAnsi="Times New Roman" w:cs="Times New Roman"/>
          <w:bCs/>
          <w:sz w:val="24"/>
          <w:szCs w:val="24"/>
        </w:rPr>
        <w:t xml:space="preserve">conducted by UN staff, </w:t>
      </w:r>
      <w:r w:rsidRPr="005D4494">
        <w:rPr>
          <w:rFonts w:ascii="Times New Roman" w:hAnsi="Times New Roman" w:cs="Times New Roman"/>
          <w:bCs/>
          <w:sz w:val="24"/>
          <w:szCs w:val="24"/>
        </w:rPr>
        <w:t>and schedule</w:t>
      </w:r>
      <w:r>
        <w:rPr>
          <w:rFonts w:ascii="Times New Roman" w:hAnsi="Times New Roman" w:cs="Times New Roman"/>
          <w:bCs/>
          <w:sz w:val="24"/>
          <w:szCs w:val="24"/>
        </w:rPr>
        <w:t>d/HACT</w:t>
      </w:r>
      <w:r w:rsidRPr="005D4494">
        <w:rPr>
          <w:rFonts w:ascii="Times New Roman" w:hAnsi="Times New Roman" w:cs="Times New Roman"/>
          <w:bCs/>
          <w:sz w:val="24"/>
          <w:szCs w:val="24"/>
        </w:rPr>
        <w:t xml:space="preserve"> audits by the Royal Audit Authority</w:t>
      </w:r>
      <w:r>
        <w:rPr>
          <w:rFonts w:ascii="Times New Roman" w:hAnsi="Times New Roman" w:cs="Times New Roman"/>
          <w:bCs/>
          <w:sz w:val="24"/>
          <w:szCs w:val="24"/>
        </w:rPr>
        <w:t>, Bhutan’s Supreme Audit Institution</w:t>
      </w:r>
      <w:r w:rsidRPr="005D4494">
        <w:rPr>
          <w:rFonts w:ascii="Times New Roman" w:hAnsi="Times New Roman" w:cs="Times New Roman"/>
          <w:bCs/>
          <w:sz w:val="24"/>
          <w:szCs w:val="24"/>
        </w:rPr>
        <w:t xml:space="preserve">. The financial report is reported through the FACE (Funding Authorization &amp; Certification of Expenditure) form and the progress is reported through Standard progress reports quarterly. </w:t>
      </w:r>
      <w:r>
        <w:rPr>
          <w:rFonts w:ascii="Times New Roman" w:hAnsi="Times New Roman" w:cs="Times New Roman"/>
          <w:bCs/>
          <w:sz w:val="24"/>
          <w:szCs w:val="24"/>
        </w:rPr>
        <w:t>Joint m</w:t>
      </w:r>
      <w:r w:rsidRPr="005D4494">
        <w:rPr>
          <w:rFonts w:ascii="Times New Roman" w:hAnsi="Times New Roman" w:cs="Times New Roman"/>
          <w:bCs/>
          <w:sz w:val="24"/>
          <w:szCs w:val="24"/>
        </w:rPr>
        <w:t>id-year and annual reviews are also conducted as part of monitoring and evaluation of progress and performance. These reporting formats are aligned to the Government’s planning and monitoring system. In addition joint field visits</w:t>
      </w:r>
      <w:r>
        <w:rPr>
          <w:rFonts w:ascii="Times New Roman" w:hAnsi="Times New Roman" w:cs="Times New Roman"/>
          <w:bCs/>
          <w:sz w:val="24"/>
          <w:szCs w:val="24"/>
        </w:rPr>
        <w:t>, where applicable,</w:t>
      </w:r>
      <w:r w:rsidRPr="005D4494">
        <w:rPr>
          <w:rFonts w:ascii="Times New Roman" w:hAnsi="Times New Roman" w:cs="Times New Roman"/>
          <w:bCs/>
          <w:sz w:val="24"/>
          <w:szCs w:val="24"/>
        </w:rPr>
        <w:t xml:space="preserve"> are conducted to the project sites.</w:t>
      </w:r>
    </w:p>
    <w:p w:rsidR="00C32462" w:rsidRPr="00716420" w:rsidRDefault="00C32462" w:rsidP="00C32462">
      <w:pPr>
        <w:pStyle w:val="BodyText"/>
        <w:rPr>
          <w:rFonts w:ascii="Times New Roman" w:hAnsi="Times New Roman"/>
          <w:bCs/>
          <w:sz w:val="24"/>
        </w:rPr>
      </w:pPr>
    </w:p>
    <w:p w:rsidR="00C94534" w:rsidRPr="00716420" w:rsidRDefault="00C94534" w:rsidP="00D021E2">
      <w:pPr>
        <w:pStyle w:val="BodyText"/>
        <w:rPr>
          <w:rFonts w:ascii="Times New Roman" w:hAnsi="Times New Roman"/>
          <w:b/>
          <w:sz w:val="24"/>
        </w:rPr>
      </w:pPr>
    </w:p>
    <w:p w:rsidR="0065708D" w:rsidRDefault="0099056A" w:rsidP="00C32462">
      <w:pPr>
        <w:pStyle w:val="Heading1"/>
        <w:numPr>
          <w:ilvl w:val="0"/>
          <w:numId w:val="1"/>
        </w:numPr>
        <w:tabs>
          <w:tab w:val="clear" w:pos="1080"/>
          <w:tab w:val="left" w:pos="360"/>
        </w:tabs>
        <w:ind w:left="360" w:hanging="360"/>
        <w:jc w:val="left"/>
        <w:rPr>
          <w:rFonts w:ascii="Times New Roman" w:hAnsi="Times New Roman"/>
          <w:sz w:val="24"/>
          <w:szCs w:val="24"/>
        </w:rPr>
      </w:pPr>
      <w:bookmarkStart w:id="5" w:name="_Toc249364486"/>
      <w:r w:rsidRPr="00716420">
        <w:rPr>
          <w:rFonts w:ascii="Times New Roman" w:hAnsi="Times New Roman"/>
          <w:sz w:val="24"/>
          <w:szCs w:val="24"/>
        </w:rPr>
        <w:t>Results</w:t>
      </w:r>
      <w:bookmarkEnd w:id="5"/>
      <w:r w:rsidRPr="00716420">
        <w:rPr>
          <w:rFonts w:ascii="Times New Roman" w:hAnsi="Times New Roman"/>
          <w:sz w:val="24"/>
          <w:szCs w:val="24"/>
        </w:rPr>
        <w:t xml:space="preserve"> </w:t>
      </w:r>
    </w:p>
    <w:p w:rsidR="00C32462" w:rsidRDefault="00C32462" w:rsidP="00F617F5">
      <w:pPr>
        <w:pStyle w:val="BodyText"/>
        <w:spacing w:before="60" w:after="60"/>
        <w:rPr>
          <w:rFonts w:ascii="Times New Roman" w:hAnsi="Times New Roman" w:cs="Times New Roman"/>
          <w:bCs/>
          <w:iCs/>
          <w:snapToGrid w:val="0"/>
          <w:sz w:val="24"/>
          <w:szCs w:val="24"/>
        </w:rPr>
      </w:pPr>
      <w:r w:rsidRPr="00F617F5">
        <w:rPr>
          <w:rFonts w:ascii="Times New Roman" w:hAnsi="Times New Roman" w:cs="Times New Roman"/>
          <w:sz w:val="24"/>
          <w:szCs w:val="24"/>
          <w:lang w:eastAsia="ja-JP"/>
        </w:rPr>
        <w:t xml:space="preserve">The UN Bhutan Country Fund allocation to the UNDAF Outcome </w:t>
      </w:r>
      <w:r w:rsidR="000D3832" w:rsidRPr="00F617F5">
        <w:rPr>
          <w:rFonts w:ascii="Times New Roman" w:hAnsi="Times New Roman" w:cs="Times New Roman"/>
          <w:sz w:val="24"/>
          <w:szCs w:val="24"/>
          <w:lang w:eastAsia="ja-JP"/>
        </w:rPr>
        <w:t>2</w:t>
      </w:r>
      <w:r w:rsidRPr="00F617F5">
        <w:rPr>
          <w:rFonts w:ascii="Times New Roman" w:hAnsi="Times New Roman" w:cs="Times New Roman"/>
          <w:sz w:val="24"/>
          <w:szCs w:val="24"/>
          <w:lang w:eastAsia="ja-JP"/>
        </w:rPr>
        <w:t xml:space="preserve">: </w:t>
      </w:r>
      <w:r w:rsidR="000D3832" w:rsidRPr="00F617F5">
        <w:rPr>
          <w:rFonts w:ascii="Times New Roman" w:hAnsi="Times New Roman" w:cs="Times New Roman"/>
          <w:b/>
          <w:bCs/>
          <w:i/>
          <w:iCs/>
          <w:snapToGrid w:val="0"/>
          <w:sz w:val="24"/>
          <w:szCs w:val="24"/>
        </w:rPr>
        <w:t xml:space="preserve">By 2012, increased access and utilization of quality health services with emphasis on reproductive health, maternal and child health and nutrition, HIV/AIDS, TB, malaria and other non-communicable </w:t>
      </w:r>
      <w:r w:rsidR="00F617F5" w:rsidRPr="00F617F5">
        <w:rPr>
          <w:rFonts w:ascii="Times New Roman" w:hAnsi="Times New Roman" w:cs="Times New Roman"/>
          <w:b/>
          <w:bCs/>
          <w:i/>
          <w:iCs/>
          <w:snapToGrid w:val="0"/>
          <w:sz w:val="24"/>
          <w:szCs w:val="24"/>
        </w:rPr>
        <w:t>diseases</w:t>
      </w:r>
      <w:r w:rsidR="00F617F5">
        <w:rPr>
          <w:rFonts w:ascii="Times New Roman" w:hAnsi="Times New Roman" w:cs="Times New Roman"/>
          <w:bCs/>
          <w:iCs/>
          <w:snapToGrid w:val="0"/>
          <w:sz w:val="24"/>
          <w:szCs w:val="24"/>
        </w:rPr>
        <w:t xml:space="preserve"> through:</w:t>
      </w:r>
    </w:p>
    <w:p w:rsidR="00F617F5" w:rsidRDefault="00F617F5" w:rsidP="00F617F5">
      <w:pPr>
        <w:pStyle w:val="BodyText"/>
        <w:spacing w:before="60" w:after="60"/>
        <w:rPr>
          <w:rFonts w:ascii="Times New Roman" w:hAnsi="Times New Roman" w:cs="Times New Roman"/>
          <w:bCs/>
          <w:iCs/>
          <w:snapToGrid w:val="0"/>
          <w:sz w:val="24"/>
          <w:szCs w:val="24"/>
        </w:rPr>
      </w:pPr>
    </w:p>
    <w:p w:rsidR="00F617F5" w:rsidRDefault="00F617F5" w:rsidP="00F617F5">
      <w:pPr>
        <w:pStyle w:val="BodyText"/>
        <w:spacing w:before="60" w:after="60"/>
        <w:rPr>
          <w:rFonts w:ascii="Times New Roman" w:hAnsi="Times New Roman" w:cs="Times New Roman"/>
          <w:bCs/>
          <w:iCs/>
          <w:snapToGrid w:val="0"/>
          <w:sz w:val="24"/>
          <w:szCs w:val="24"/>
        </w:rPr>
      </w:pPr>
      <w:r>
        <w:rPr>
          <w:rFonts w:ascii="Times New Roman" w:hAnsi="Times New Roman" w:cs="Times New Roman"/>
          <w:bCs/>
          <w:iCs/>
          <w:snapToGrid w:val="0"/>
          <w:sz w:val="24"/>
          <w:szCs w:val="24"/>
        </w:rPr>
        <w:t>UNICEF:</w:t>
      </w:r>
    </w:p>
    <w:p w:rsidR="00F617F5" w:rsidRDefault="00F617F5" w:rsidP="00F617F5">
      <w:pPr>
        <w:pStyle w:val="BodyText"/>
        <w:numPr>
          <w:ilvl w:val="0"/>
          <w:numId w:val="10"/>
        </w:numPr>
        <w:spacing w:before="60" w:after="60"/>
        <w:rPr>
          <w:rFonts w:ascii="Times New Roman" w:hAnsi="Times New Roman" w:cs="Times New Roman"/>
          <w:bCs/>
          <w:iCs/>
          <w:snapToGrid w:val="0"/>
          <w:sz w:val="24"/>
          <w:szCs w:val="24"/>
        </w:rPr>
      </w:pPr>
      <w:r>
        <w:rPr>
          <w:rFonts w:ascii="Times New Roman" w:hAnsi="Times New Roman" w:cs="Times New Roman"/>
          <w:bCs/>
          <w:iCs/>
          <w:snapToGrid w:val="0"/>
          <w:sz w:val="24"/>
          <w:szCs w:val="24"/>
        </w:rPr>
        <w:t>Training of 4 neonatal nurses in critical neonatal care which has helped the Ministry of Health to:</w:t>
      </w:r>
    </w:p>
    <w:p w:rsidR="00F617F5" w:rsidRDefault="00F617F5" w:rsidP="00F617F5">
      <w:pPr>
        <w:pStyle w:val="BodyText"/>
        <w:numPr>
          <w:ilvl w:val="1"/>
          <w:numId w:val="10"/>
        </w:numPr>
        <w:spacing w:before="60" w:after="60"/>
        <w:rPr>
          <w:rFonts w:ascii="Times New Roman" w:hAnsi="Times New Roman" w:cs="Times New Roman"/>
          <w:bCs/>
          <w:iCs/>
          <w:snapToGrid w:val="0"/>
          <w:sz w:val="24"/>
          <w:szCs w:val="24"/>
        </w:rPr>
      </w:pPr>
      <w:r>
        <w:rPr>
          <w:rFonts w:ascii="Times New Roman" w:hAnsi="Times New Roman" w:cs="Times New Roman"/>
          <w:bCs/>
          <w:iCs/>
          <w:snapToGrid w:val="0"/>
          <w:sz w:val="24"/>
          <w:szCs w:val="24"/>
        </w:rPr>
        <w:t xml:space="preserve">Expand its Comprehensive Emergency Obstetric and Newborn Care </w:t>
      </w:r>
      <w:proofErr w:type="spellStart"/>
      <w:r>
        <w:rPr>
          <w:rFonts w:ascii="Times New Roman" w:hAnsi="Times New Roman" w:cs="Times New Roman"/>
          <w:bCs/>
          <w:iCs/>
          <w:snapToGrid w:val="0"/>
          <w:sz w:val="24"/>
          <w:szCs w:val="24"/>
        </w:rPr>
        <w:t>Centres</w:t>
      </w:r>
      <w:proofErr w:type="spellEnd"/>
      <w:r>
        <w:rPr>
          <w:rFonts w:ascii="Times New Roman" w:hAnsi="Times New Roman" w:cs="Times New Roman"/>
          <w:bCs/>
          <w:iCs/>
          <w:snapToGrid w:val="0"/>
          <w:sz w:val="24"/>
          <w:szCs w:val="24"/>
        </w:rPr>
        <w:t xml:space="preserve"> (</w:t>
      </w:r>
      <w:proofErr w:type="spellStart"/>
      <w:r>
        <w:rPr>
          <w:rFonts w:ascii="Times New Roman" w:hAnsi="Times New Roman" w:cs="Times New Roman"/>
          <w:bCs/>
          <w:iCs/>
          <w:snapToGrid w:val="0"/>
          <w:sz w:val="24"/>
          <w:szCs w:val="24"/>
        </w:rPr>
        <w:t>CEmONC</w:t>
      </w:r>
      <w:proofErr w:type="spellEnd"/>
      <w:r>
        <w:rPr>
          <w:rFonts w:ascii="Times New Roman" w:hAnsi="Times New Roman" w:cs="Times New Roman"/>
          <w:bCs/>
          <w:iCs/>
          <w:snapToGrid w:val="0"/>
          <w:sz w:val="24"/>
          <w:szCs w:val="24"/>
        </w:rPr>
        <w:t xml:space="preserve">) and </w:t>
      </w:r>
    </w:p>
    <w:p w:rsidR="00F617F5" w:rsidRDefault="00F617F5" w:rsidP="00F617F5">
      <w:pPr>
        <w:pStyle w:val="BodyText"/>
        <w:numPr>
          <w:ilvl w:val="1"/>
          <w:numId w:val="10"/>
        </w:numPr>
        <w:spacing w:before="60" w:after="60"/>
        <w:rPr>
          <w:rFonts w:ascii="Times New Roman" w:hAnsi="Times New Roman" w:cs="Times New Roman"/>
          <w:bCs/>
          <w:iCs/>
          <w:snapToGrid w:val="0"/>
          <w:sz w:val="24"/>
          <w:szCs w:val="24"/>
        </w:rPr>
      </w:pPr>
      <w:r>
        <w:rPr>
          <w:rFonts w:ascii="Times New Roman" w:hAnsi="Times New Roman" w:cs="Times New Roman"/>
          <w:bCs/>
          <w:iCs/>
          <w:snapToGrid w:val="0"/>
          <w:sz w:val="24"/>
          <w:szCs w:val="24"/>
        </w:rPr>
        <w:t>Improve the skills of the nurses and enabled them in delivering better neonatal care services</w:t>
      </w:r>
    </w:p>
    <w:p w:rsidR="00F617F5" w:rsidRDefault="00F617F5" w:rsidP="00F617F5">
      <w:pPr>
        <w:pStyle w:val="BodyText"/>
        <w:numPr>
          <w:ilvl w:val="0"/>
          <w:numId w:val="10"/>
        </w:numPr>
        <w:spacing w:before="60" w:after="60"/>
        <w:rPr>
          <w:rFonts w:ascii="Times New Roman" w:hAnsi="Times New Roman" w:cs="Times New Roman"/>
          <w:bCs/>
          <w:iCs/>
          <w:snapToGrid w:val="0"/>
          <w:sz w:val="24"/>
          <w:szCs w:val="24"/>
        </w:rPr>
      </w:pPr>
      <w:r>
        <w:rPr>
          <w:rFonts w:ascii="Times New Roman" w:hAnsi="Times New Roman" w:cs="Times New Roman"/>
          <w:bCs/>
          <w:iCs/>
          <w:snapToGrid w:val="0"/>
          <w:sz w:val="24"/>
          <w:szCs w:val="24"/>
        </w:rPr>
        <w:t xml:space="preserve">Participation of 4 officials (MP, Pediatrician, CHU in-charge, lecturer of Royal Institute of Health Sciences) at the </w:t>
      </w:r>
      <w:r>
        <w:rPr>
          <w:rFonts w:ascii="Times New Roman" w:hAnsi="Times New Roman" w:cs="Times New Roman"/>
          <w:bCs/>
          <w:i/>
          <w:iCs/>
          <w:snapToGrid w:val="0"/>
          <w:sz w:val="24"/>
          <w:szCs w:val="24"/>
        </w:rPr>
        <w:t>One Asia Breastfeeding Partners Forum-6</w:t>
      </w:r>
      <w:r>
        <w:rPr>
          <w:rFonts w:ascii="Times New Roman" w:hAnsi="Times New Roman" w:cs="Times New Roman"/>
          <w:bCs/>
          <w:iCs/>
          <w:snapToGrid w:val="0"/>
          <w:sz w:val="24"/>
          <w:szCs w:val="24"/>
        </w:rPr>
        <w:t xml:space="preserve"> held in Sri Lanka in 2009. These officials have contributed in the development of the Infant and Young Child Feeding (IYCF) Strategy and Protocol. The MP has also sensitized the other National Assembly and National Council members on appropriate IYCF. These officials will also contribute in drafting the Marketing Code of Breast Milks Substitute while will be developed soon.</w:t>
      </w:r>
    </w:p>
    <w:p w:rsidR="00F617F5" w:rsidRDefault="00F617F5" w:rsidP="00F617F5">
      <w:pPr>
        <w:pStyle w:val="BodyText"/>
        <w:numPr>
          <w:ilvl w:val="0"/>
          <w:numId w:val="10"/>
        </w:numPr>
        <w:spacing w:before="60" w:after="60"/>
        <w:rPr>
          <w:rFonts w:ascii="Times New Roman" w:hAnsi="Times New Roman" w:cs="Times New Roman"/>
          <w:bCs/>
          <w:iCs/>
          <w:snapToGrid w:val="0"/>
          <w:sz w:val="24"/>
          <w:szCs w:val="24"/>
        </w:rPr>
      </w:pPr>
      <w:r>
        <w:rPr>
          <w:rFonts w:ascii="Times New Roman" w:hAnsi="Times New Roman" w:cs="Times New Roman"/>
          <w:bCs/>
          <w:iCs/>
          <w:snapToGrid w:val="0"/>
          <w:sz w:val="24"/>
          <w:szCs w:val="24"/>
        </w:rPr>
        <w:t xml:space="preserve">Participation of two </w:t>
      </w:r>
      <w:proofErr w:type="spellStart"/>
      <w:r>
        <w:rPr>
          <w:rFonts w:ascii="Times New Roman" w:hAnsi="Times New Roman" w:cs="Times New Roman"/>
          <w:bCs/>
          <w:iCs/>
          <w:snapToGrid w:val="0"/>
          <w:sz w:val="24"/>
          <w:szCs w:val="24"/>
        </w:rPr>
        <w:t>Programme</w:t>
      </w:r>
      <w:proofErr w:type="spellEnd"/>
      <w:r>
        <w:rPr>
          <w:rFonts w:ascii="Times New Roman" w:hAnsi="Times New Roman" w:cs="Times New Roman"/>
          <w:bCs/>
          <w:iCs/>
          <w:snapToGrid w:val="0"/>
          <w:sz w:val="24"/>
          <w:szCs w:val="24"/>
        </w:rPr>
        <w:t xml:space="preserve"> Officers in a training course on </w:t>
      </w:r>
      <w:r>
        <w:rPr>
          <w:rFonts w:ascii="Times New Roman" w:hAnsi="Times New Roman" w:cs="Times New Roman"/>
          <w:bCs/>
          <w:i/>
          <w:iCs/>
          <w:snapToGrid w:val="0"/>
          <w:sz w:val="24"/>
          <w:szCs w:val="24"/>
        </w:rPr>
        <w:t xml:space="preserve">Supervision and monitoring of expanded </w:t>
      </w:r>
      <w:proofErr w:type="spellStart"/>
      <w:r>
        <w:rPr>
          <w:rFonts w:ascii="Times New Roman" w:hAnsi="Times New Roman" w:cs="Times New Roman"/>
          <w:bCs/>
          <w:i/>
          <w:iCs/>
          <w:snapToGrid w:val="0"/>
          <w:sz w:val="24"/>
          <w:szCs w:val="24"/>
        </w:rPr>
        <w:t>programme</w:t>
      </w:r>
      <w:proofErr w:type="spellEnd"/>
      <w:r>
        <w:rPr>
          <w:rFonts w:ascii="Times New Roman" w:hAnsi="Times New Roman" w:cs="Times New Roman"/>
          <w:bCs/>
          <w:i/>
          <w:iCs/>
          <w:snapToGrid w:val="0"/>
          <w:sz w:val="24"/>
          <w:szCs w:val="24"/>
        </w:rPr>
        <w:t xml:space="preserve"> on Immunization (EPI) </w:t>
      </w:r>
      <w:proofErr w:type="spellStart"/>
      <w:r>
        <w:rPr>
          <w:rFonts w:ascii="Times New Roman" w:hAnsi="Times New Roman" w:cs="Times New Roman"/>
          <w:bCs/>
          <w:i/>
          <w:iCs/>
          <w:snapToGrid w:val="0"/>
          <w:sz w:val="24"/>
          <w:szCs w:val="24"/>
        </w:rPr>
        <w:t>Programme</w:t>
      </w:r>
      <w:proofErr w:type="spellEnd"/>
      <w:r>
        <w:rPr>
          <w:rFonts w:ascii="Times New Roman" w:hAnsi="Times New Roman" w:cs="Times New Roman"/>
          <w:bCs/>
          <w:i/>
          <w:iCs/>
          <w:snapToGrid w:val="0"/>
          <w:sz w:val="24"/>
          <w:szCs w:val="24"/>
        </w:rPr>
        <w:t xml:space="preserve"> </w:t>
      </w:r>
      <w:r>
        <w:rPr>
          <w:rFonts w:ascii="Times New Roman" w:hAnsi="Times New Roman" w:cs="Times New Roman"/>
          <w:bCs/>
          <w:iCs/>
          <w:snapToGrid w:val="0"/>
          <w:sz w:val="24"/>
          <w:szCs w:val="24"/>
        </w:rPr>
        <w:t xml:space="preserve">in Thailand. The participants through this </w:t>
      </w:r>
      <w:proofErr w:type="gramStart"/>
      <w:r>
        <w:rPr>
          <w:rFonts w:ascii="Times New Roman" w:hAnsi="Times New Roman" w:cs="Times New Roman"/>
          <w:bCs/>
          <w:iCs/>
          <w:snapToGrid w:val="0"/>
          <w:sz w:val="24"/>
          <w:szCs w:val="24"/>
        </w:rPr>
        <w:lastRenderedPageBreak/>
        <w:t>training,</w:t>
      </w:r>
      <w:proofErr w:type="gramEnd"/>
      <w:r>
        <w:rPr>
          <w:rFonts w:ascii="Times New Roman" w:hAnsi="Times New Roman" w:cs="Times New Roman"/>
          <w:bCs/>
          <w:iCs/>
          <w:snapToGrid w:val="0"/>
          <w:sz w:val="24"/>
          <w:szCs w:val="24"/>
        </w:rPr>
        <w:t xml:space="preserve"> enhanced their capacity to monitor and supervise EPI </w:t>
      </w:r>
      <w:proofErr w:type="spellStart"/>
      <w:r>
        <w:rPr>
          <w:rFonts w:ascii="Times New Roman" w:hAnsi="Times New Roman" w:cs="Times New Roman"/>
          <w:bCs/>
          <w:iCs/>
          <w:snapToGrid w:val="0"/>
          <w:sz w:val="24"/>
          <w:szCs w:val="24"/>
        </w:rPr>
        <w:t>programme</w:t>
      </w:r>
      <w:proofErr w:type="spellEnd"/>
      <w:r>
        <w:rPr>
          <w:rFonts w:ascii="Times New Roman" w:hAnsi="Times New Roman" w:cs="Times New Roman"/>
          <w:bCs/>
          <w:iCs/>
          <w:snapToGrid w:val="0"/>
          <w:sz w:val="24"/>
          <w:szCs w:val="24"/>
        </w:rPr>
        <w:t xml:space="preserve"> at the district hospital and basic health units. These officials also contributed in the development </w:t>
      </w:r>
      <w:r w:rsidR="00B034E4">
        <w:rPr>
          <w:rFonts w:ascii="Times New Roman" w:hAnsi="Times New Roman" w:cs="Times New Roman"/>
          <w:bCs/>
          <w:iCs/>
          <w:snapToGrid w:val="0"/>
          <w:sz w:val="24"/>
          <w:szCs w:val="24"/>
        </w:rPr>
        <w:t xml:space="preserve">of </w:t>
      </w:r>
      <w:proofErr w:type="gramStart"/>
      <w:r w:rsidR="00B034E4">
        <w:rPr>
          <w:rFonts w:ascii="Times New Roman" w:hAnsi="Times New Roman" w:cs="Times New Roman"/>
          <w:bCs/>
          <w:iCs/>
          <w:snapToGrid w:val="0"/>
          <w:sz w:val="24"/>
          <w:szCs w:val="24"/>
        </w:rPr>
        <w:t>a supervision</w:t>
      </w:r>
      <w:proofErr w:type="gramEnd"/>
      <w:r w:rsidR="00B034E4">
        <w:rPr>
          <w:rFonts w:ascii="Times New Roman" w:hAnsi="Times New Roman" w:cs="Times New Roman"/>
          <w:bCs/>
          <w:iCs/>
          <w:snapToGrid w:val="0"/>
          <w:sz w:val="24"/>
          <w:szCs w:val="24"/>
        </w:rPr>
        <w:t xml:space="preserve"> and monitoring check list to be used while visiting the health facilities. Through the supportive supervision by these trained health officials, health workers have received constructive feedback which has helped them improve their performance. </w:t>
      </w:r>
    </w:p>
    <w:p w:rsidR="00B034E4" w:rsidRDefault="00B034E4" w:rsidP="00F617F5">
      <w:pPr>
        <w:pStyle w:val="BodyText"/>
        <w:numPr>
          <w:ilvl w:val="0"/>
          <w:numId w:val="10"/>
        </w:numPr>
        <w:spacing w:before="60" w:after="60"/>
        <w:rPr>
          <w:rFonts w:ascii="Times New Roman" w:hAnsi="Times New Roman" w:cs="Times New Roman"/>
          <w:bCs/>
          <w:iCs/>
          <w:snapToGrid w:val="0"/>
          <w:sz w:val="24"/>
          <w:szCs w:val="24"/>
        </w:rPr>
      </w:pPr>
      <w:r>
        <w:rPr>
          <w:rFonts w:ascii="Times New Roman" w:hAnsi="Times New Roman" w:cs="Times New Roman"/>
          <w:bCs/>
          <w:iCs/>
          <w:snapToGrid w:val="0"/>
          <w:sz w:val="24"/>
          <w:szCs w:val="24"/>
        </w:rPr>
        <w:t xml:space="preserve">Participation of two health officials including a pediatrician at a week long advanced </w:t>
      </w:r>
      <w:proofErr w:type="spellStart"/>
      <w:r>
        <w:rPr>
          <w:rFonts w:ascii="Times New Roman" w:hAnsi="Times New Roman" w:cs="Times New Roman"/>
          <w:bCs/>
          <w:iCs/>
          <w:snapToGrid w:val="0"/>
          <w:sz w:val="24"/>
          <w:szCs w:val="24"/>
        </w:rPr>
        <w:t>vaccinology</w:t>
      </w:r>
      <w:proofErr w:type="spellEnd"/>
      <w:r>
        <w:rPr>
          <w:rFonts w:ascii="Times New Roman" w:hAnsi="Times New Roman" w:cs="Times New Roman"/>
          <w:bCs/>
          <w:iCs/>
          <w:snapToGrid w:val="0"/>
          <w:sz w:val="24"/>
          <w:szCs w:val="24"/>
        </w:rPr>
        <w:t xml:space="preserve"> course in South Korea. These officials have been able to contribute and provide technical guidance in different aspects of vaccine related </w:t>
      </w:r>
      <w:proofErr w:type="gramStart"/>
      <w:r>
        <w:rPr>
          <w:rFonts w:ascii="Times New Roman" w:hAnsi="Times New Roman" w:cs="Times New Roman"/>
          <w:bCs/>
          <w:iCs/>
          <w:snapToGrid w:val="0"/>
          <w:sz w:val="24"/>
          <w:szCs w:val="24"/>
        </w:rPr>
        <w:t>issues,</w:t>
      </w:r>
      <w:proofErr w:type="gramEnd"/>
      <w:r>
        <w:rPr>
          <w:rFonts w:ascii="Times New Roman" w:hAnsi="Times New Roman" w:cs="Times New Roman"/>
          <w:bCs/>
          <w:iCs/>
          <w:snapToGrid w:val="0"/>
          <w:sz w:val="24"/>
          <w:szCs w:val="24"/>
        </w:rPr>
        <w:t xml:space="preserve"> and in the revision of the EPI manual for health workers. </w:t>
      </w:r>
    </w:p>
    <w:p w:rsidR="00B034E4" w:rsidRPr="00F617F5" w:rsidRDefault="00B034E4" w:rsidP="00F617F5">
      <w:pPr>
        <w:pStyle w:val="BodyText"/>
        <w:numPr>
          <w:ilvl w:val="0"/>
          <w:numId w:val="10"/>
        </w:numPr>
        <w:spacing w:before="60" w:after="60"/>
        <w:rPr>
          <w:rFonts w:ascii="Times New Roman" w:hAnsi="Times New Roman" w:cs="Times New Roman"/>
          <w:bCs/>
          <w:iCs/>
          <w:snapToGrid w:val="0"/>
          <w:sz w:val="24"/>
          <w:szCs w:val="24"/>
        </w:rPr>
      </w:pPr>
      <w:r>
        <w:rPr>
          <w:rFonts w:ascii="Times New Roman" w:hAnsi="Times New Roman" w:cs="Times New Roman"/>
          <w:bCs/>
          <w:iCs/>
          <w:snapToGrid w:val="0"/>
          <w:sz w:val="24"/>
          <w:szCs w:val="24"/>
        </w:rPr>
        <w:t xml:space="preserve">Training of one EPI Technician on </w:t>
      </w:r>
      <w:r>
        <w:rPr>
          <w:rFonts w:ascii="Times New Roman" w:hAnsi="Times New Roman" w:cs="Times New Roman"/>
          <w:bCs/>
          <w:i/>
          <w:iCs/>
          <w:snapToGrid w:val="0"/>
          <w:sz w:val="24"/>
          <w:szCs w:val="24"/>
        </w:rPr>
        <w:t>Basic Maintenance of Cold Chain Equipment and Storage of Vaccine</w:t>
      </w:r>
      <w:r>
        <w:rPr>
          <w:rFonts w:ascii="Times New Roman" w:hAnsi="Times New Roman" w:cs="Times New Roman"/>
          <w:bCs/>
          <w:iCs/>
          <w:snapToGrid w:val="0"/>
          <w:sz w:val="24"/>
          <w:szCs w:val="24"/>
        </w:rPr>
        <w:t xml:space="preserve"> in India. The technician is able to read the Tiny-tag and the Q-tag (cold chain monitoring device) recordings and monitor the range of temperature in which vaccines are exposed during transport and storage. Through such </w:t>
      </w:r>
      <w:proofErr w:type="gramStart"/>
      <w:r>
        <w:rPr>
          <w:rFonts w:ascii="Times New Roman" w:hAnsi="Times New Roman" w:cs="Times New Roman"/>
          <w:bCs/>
          <w:iCs/>
          <w:snapToGrid w:val="0"/>
          <w:sz w:val="24"/>
          <w:szCs w:val="24"/>
        </w:rPr>
        <w:t>monitoring ,</w:t>
      </w:r>
      <w:proofErr w:type="gramEnd"/>
      <w:r>
        <w:rPr>
          <w:rFonts w:ascii="Times New Roman" w:hAnsi="Times New Roman" w:cs="Times New Roman"/>
          <w:bCs/>
          <w:iCs/>
          <w:snapToGrid w:val="0"/>
          <w:sz w:val="24"/>
          <w:szCs w:val="24"/>
        </w:rPr>
        <w:t xml:space="preserve"> the </w:t>
      </w:r>
      <w:proofErr w:type="spellStart"/>
      <w:r>
        <w:rPr>
          <w:rFonts w:ascii="Times New Roman" w:hAnsi="Times New Roman" w:cs="Times New Roman"/>
          <w:bCs/>
          <w:iCs/>
          <w:snapToGrid w:val="0"/>
          <w:sz w:val="24"/>
          <w:szCs w:val="24"/>
        </w:rPr>
        <w:t>technican</w:t>
      </w:r>
      <w:proofErr w:type="spellEnd"/>
      <w:r>
        <w:rPr>
          <w:rFonts w:ascii="Times New Roman" w:hAnsi="Times New Roman" w:cs="Times New Roman"/>
          <w:bCs/>
          <w:iCs/>
          <w:snapToGrid w:val="0"/>
          <w:sz w:val="24"/>
          <w:szCs w:val="24"/>
        </w:rPr>
        <w:t xml:space="preserve"> has been able to reduce the vaccine wastage due to exposure to abnormal temperatures.</w:t>
      </w:r>
    </w:p>
    <w:p w:rsidR="00F617F5" w:rsidRDefault="00F617F5" w:rsidP="00F617F5">
      <w:pPr>
        <w:rPr>
          <w:bCs/>
          <w:iCs/>
          <w:snapToGrid w:val="0"/>
        </w:rPr>
      </w:pPr>
    </w:p>
    <w:p w:rsidR="00B034E4" w:rsidRDefault="00B034E4" w:rsidP="00F617F5">
      <w:pPr>
        <w:rPr>
          <w:lang w:eastAsia="ja-JP"/>
        </w:rPr>
      </w:pPr>
      <w:r>
        <w:rPr>
          <w:lang w:eastAsia="ja-JP"/>
        </w:rPr>
        <w:t>Specific achievements under UNICEF include:</w:t>
      </w:r>
    </w:p>
    <w:p w:rsidR="00B034E4" w:rsidRDefault="00B034E4" w:rsidP="00B034E4">
      <w:pPr>
        <w:pStyle w:val="ListParagraph"/>
        <w:numPr>
          <w:ilvl w:val="0"/>
          <w:numId w:val="18"/>
        </w:numPr>
        <w:rPr>
          <w:lang w:eastAsia="ja-JP"/>
        </w:rPr>
      </w:pPr>
      <w:r>
        <w:rPr>
          <w:lang w:eastAsia="ja-JP"/>
        </w:rPr>
        <w:t>Neonates with serious problems are benefiting from these skilled nurses through improved and timely nursing care services</w:t>
      </w:r>
    </w:p>
    <w:p w:rsidR="00B034E4" w:rsidRDefault="00B034E4" w:rsidP="00B034E4">
      <w:pPr>
        <w:pStyle w:val="ListParagraph"/>
        <w:numPr>
          <w:ilvl w:val="0"/>
          <w:numId w:val="18"/>
        </w:numPr>
        <w:rPr>
          <w:lang w:eastAsia="ja-JP"/>
        </w:rPr>
      </w:pPr>
      <w:r>
        <w:rPr>
          <w:lang w:eastAsia="ja-JP"/>
        </w:rPr>
        <w:t xml:space="preserve">Two more </w:t>
      </w:r>
      <w:proofErr w:type="spellStart"/>
      <w:r>
        <w:rPr>
          <w:lang w:eastAsia="ja-JP"/>
        </w:rPr>
        <w:t>CEmONC</w:t>
      </w:r>
      <w:proofErr w:type="spellEnd"/>
      <w:r>
        <w:rPr>
          <w:lang w:eastAsia="ja-JP"/>
        </w:rPr>
        <w:t xml:space="preserve"> </w:t>
      </w:r>
      <w:proofErr w:type="spellStart"/>
      <w:r>
        <w:rPr>
          <w:lang w:eastAsia="ja-JP"/>
        </w:rPr>
        <w:t>centres</w:t>
      </w:r>
      <w:proofErr w:type="spellEnd"/>
      <w:r>
        <w:rPr>
          <w:lang w:eastAsia="ja-JP"/>
        </w:rPr>
        <w:t xml:space="preserve"> strengthened with the nurses skilled in providing newborn care services</w:t>
      </w:r>
    </w:p>
    <w:p w:rsidR="00B034E4" w:rsidRDefault="00B034E4" w:rsidP="00B034E4">
      <w:pPr>
        <w:pStyle w:val="ListParagraph"/>
        <w:numPr>
          <w:ilvl w:val="0"/>
          <w:numId w:val="18"/>
        </w:numPr>
        <w:rPr>
          <w:lang w:eastAsia="ja-JP"/>
        </w:rPr>
      </w:pPr>
      <w:r>
        <w:rPr>
          <w:lang w:eastAsia="ja-JP"/>
        </w:rPr>
        <w:t>IYCF Strategy and Prot</w:t>
      </w:r>
      <w:r w:rsidR="00B1054B">
        <w:rPr>
          <w:lang w:eastAsia="ja-JP"/>
        </w:rPr>
        <w:t>ocol in place. National Assembly and National Council members aware on appropriate IYCF practices</w:t>
      </w:r>
    </w:p>
    <w:p w:rsidR="00B1054B" w:rsidRDefault="00B1054B" w:rsidP="00B034E4">
      <w:pPr>
        <w:pStyle w:val="ListParagraph"/>
        <w:numPr>
          <w:ilvl w:val="0"/>
          <w:numId w:val="18"/>
        </w:numPr>
        <w:rPr>
          <w:lang w:eastAsia="ja-JP"/>
        </w:rPr>
      </w:pPr>
      <w:r>
        <w:rPr>
          <w:lang w:eastAsia="ja-JP"/>
        </w:rPr>
        <w:t>Health facility supervision and monitoring checklist in place. Better supervision and monitoring of health facilities with improved feedback to the health  workers on their performance</w:t>
      </w:r>
    </w:p>
    <w:p w:rsidR="00B1054B" w:rsidRDefault="00B1054B" w:rsidP="00B034E4">
      <w:pPr>
        <w:pStyle w:val="ListParagraph"/>
        <w:numPr>
          <w:ilvl w:val="0"/>
          <w:numId w:val="18"/>
        </w:numPr>
        <w:rPr>
          <w:lang w:eastAsia="ja-JP"/>
        </w:rPr>
      </w:pPr>
      <w:r>
        <w:rPr>
          <w:lang w:eastAsia="ja-JP"/>
        </w:rPr>
        <w:t xml:space="preserve">The trained and sensitized officials have been able to contribute and provide technical guidance on introduction of new vaccines, revision of EPI manual, etc. </w:t>
      </w:r>
    </w:p>
    <w:p w:rsidR="00B034E4" w:rsidRDefault="00B034E4" w:rsidP="00F617F5">
      <w:pPr>
        <w:rPr>
          <w:lang w:eastAsia="ja-JP"/>
        </w:rPr>
      </w:pPr>
    </w:p>
    <w:p w:rsidR="00B034E4" w:rsidRDefault="00B034E4" w:rsidP="00F617F5">
      <w:pPr>
        <w:rPr>
          <w:lang w:eastAsia="ja-JP"/>
        </w:rPr>
      </w:pPr>
      <w:r>
        <w:rPr>
          <w:lang w:eastAsia="ja-JP"/>
        </w:rPr>
        <w:t>UNFPA:</w:t>
      </w:r>
    </w:p>
    <w:p w:rsidR="00F617F5" w:rsidRDefault="00F617F5" w:rsidP="00F617F5">
      <w:pPr>
        <w:rPr>
          <w:lang w:eastAsia="ja-JP"/>
        </w:rPr>
      </w:pPr>
      <w:r>
        <w:rPr>
          <w:lang w:eastAsia="ja-JP"/>
        </w:rPr>
        <w:t>Specific achievements include:</w:t>
      </w:r>
    </w:p>
    <w:p w:rsidR="00F617F5" w:rsidRDefault="00F617F5" w:rsidP="00F617F5">
      <w:pPr>
        <w:rPr>
          <w:lang w:eastAsia="ja-JP"/>
        </w:rPr>
      </w:pPr>
    </w:p>
    <w:p w:rsidR="00F617F5" w:rsidRDefault="00F617F5" w:rsidP="00F617F5">
      <w:pPr>
        <w:pStyle w:val="ListParagraph"/>
        <w:numPr>
          <w:ilvl w:val="0"/>
          <w:numId w:val="10"/>
        </w:numPr>
        <w:rPr>
          <w:lang w:eastAsia="ja-JP"/>
        </w:rPr>
      </w:pPr>
      <w:r>
        <w:rPr>
          <w:lang w:eastAsia="ja-JP"/>
        </w:rPr>
        <w:t>Provided technical assistance for the joint Reproductive Health assessment in collaboration with UNICEF, WHO and the Ministry of Health. The report is currently waiting to be finalized.</w:t>
      </w:r>
    </w:p>
    <w:p w:rsidR="00F617F5" w:rsidRDefault="00F617F5" w:rsidP="00F617F5">
      <w:pPr>
        <w:rPr>
          <w:lang w:eastAsia="ja-JP"/>
        </w:rPr>
      </w:pPr>
    </w:p>
    <w:p w:rsidR="00F617F5" w:rsidRDefault="00F617F5" w:rsidP="00F617F5">
      <w:pPr>
        <w:pStyle w:val="ListParagraph"/>
        <w:numPr>
          <w:ilvl w:val="0"/>
          <w:numId w:val="10"/>
        </w:numPr>
        <w:rPr>
          <w:lang w:eastAsia="ja-JP"/>
        </w:rPr>
      </w:pPr>
      <w:r>
        <w:rPr>
          <w:lang w:eastAsia="ja-JP"/>
        </w:rPr>
        <w:t xml:space="preserve">Complemented UNFPA’s procurement of RH commodities ensuring undisrupted supply of contraceptives in 31 hospitals, 181 Basic Health Units, 518 ORCs spread over 205 </w:t>
      </w:r>
      <w:proofErr w:type="spellStart"/>
      <w:r>
        <w:rPr>
          <w:lang w:eastAsia="ja-JP"/>
        </w:rPr>
        <w:t>gewogs</w:t>
      </w:r>
      <w:proofErr w:type="spellEnd"/>
      <w:r>
        <w:rPr>
          <w:lang w:eastAsia="ja-JP"/>
        </w:rPr>
        <w:t>.</w:t>
      </w:r>
    </w:p>
    <w:p w:rsidR="00F617F5" w:rsidRDefault="00F617F5" w:rsidP="00F617F5">
      <w:pPr>
        <w:pStyle w:val="ListParagraph"/>
        <w:rPr>
          <w:lang w:eastAsia="ja-JP"/>
        </w:rPr>
      </w:pPr>
    </w:p>
    <w:p w:rsidR="00F617F5" w:rsidRDefault="00F617F5" w:rsidP="00F617F5">
      <w:pPr>
        <w:pStyle w:val="ListParagraph"/>
        <w:numPr>
          <w:ilvl w:val="0"/>
          <w:numId w:val="10"/>
        </w:numPr>
        <w:rPr>
          <w:lang w:eastAsia="ja-JP"/>
        </w:rPr>
      </w:pPr>
      <w:r>
        <w:rPr>
          <w:lang w:eastAsia="ja-JP"/>
        </w:rPr>
        <w:t xml:space="preserve">Human resources within the health system was strengthened through the training of 2 pediatricians and a member of the National Commission on Immunization Practices </w:t>
      </w:r>
      <w:proofErr w:type="spellStart"/>
      <w:r>
        <w:rPr>
          <w:lang w:eastAsia="ja-JP"/>
        </w:rPr>
        <w:t>vaccinology</w:t>
      </w:r>
      <w:proofErr w:type="spellEnd"/>
      <w:r>
        <w:rPr>
          <w:lang w:eastAsia="ja-JP"/>
        </w:rPr>
        <w:t xml:space="preserve"> in Seoul; 2 EPI technicians on basic maintenance of cold chain equipments and transportation of vaccines in India; 2 health officials on child health supervision and monitoring in Thailand; 4 nurses on critical neo-natal care management in Thailand; and participation of health authorities and a member of parliament in the South Asia Breastfeeding forum.</w:t>
      </w:r>
    </w:p>
    <w:p w:rsidR="00B1054B" w:rsidRDefault="00B1054B" w:rsidP="00B1054B">
      <w:pPr>
        <w:pStyle w:val="ListParagraph"/>
        <w:rPr>
          <w:lang w:eastAsia="ja-JP"/>
        </w:rPr>
      </w:pPr>
    </w:p>
    <w:p w:rsidR="00F617F5" w:rsidRPr="00716420" w:rsidRDefault="00B1054B" w:rsidP="003F321A">
      <w:pPr>
        <w:pStyle w:val="ListParagraph"/>
        <w:numPr>
          <w:ilvl w:val="0"/>
          <w:numId w:val="10"/>
        </w:numPr>
        <w:rPr>
          <w:lang w:eastAsia="ja-JP"/>
        </w:rPr>
      </w:pPr>
      <w:r>
        <w:rPr>
          <w:lang w:eastAsia="ja-JP"/>
        </w:rPr>
        <w:t xml:space="preserve">Interpretation of Tiny-tag and Q-tag recordings initiated. Vaccine wastage due to </w:t>
      </w:r>
      <w:r w:rsidR="003F321A">
        <w:rPr>
          <w:lang w:eastAsia="ja-JP"/>
        </w:rPr>
        <w:t>exposure to abnormal temperatures reduced.</w:t>
      </w:r>
    </w:p>
    <w:p w:rsidR="00315446" w:rsidRPr="00716420" w:rsidRDefault="00315446" w:rsidP="00315446">
      <w:pPr>
        <w:pStyle w:val="BodyText"/>
        <w:ind w:left="360"/>
        <w:rPr>
          <w:rFonts w:ascii="Times New Roman" w:hAnsi="Times New Roman"/>
          <w:sz w:val="24"/>
        </w:rPr>
      </w:pPr>
      <w:r>
        <w:rPr>
          <w:rFonts w:ascii="Times New Roman" w:hAnsi="Times New Roman"/>
          <w:bCs/>
          <w:sz w:val="24"/>
        </w:rPr>
        <w:tab/>
      </w:r>
    </w:p>
    <w:p w:rsidR="00C32462" w:rsidRPr="00716420" w:rsidRDefault="00C32462" w:rsidP="00D021E2">
      <w:pPr>
        <w:pStyle w:val="BodyText"/>
        <w:ind w:left="360"/>
        <w:rPr>
          <w:rFonts w:ascii="Times New Roman" w:hAnsi="Times New Roman"/>
          <w:sz w:val="24"/>
        </w:rPr>
      </w:pPr>
    </w:p>
    <w:p w:rsidR="0099056A" w:rsidRPr="00716420" w:rsidRDefault="0099056A" w:rsidP="00D021E2">
      <w:pPr>
        <w:pStyle w:val="Heading1"/>
        <w:numPr>
          <w:ilvl w:val="0"/>
          <w:numId w:val="1"/>
        </w:numPr>
        <w:tabs>
          <w:tab w:val="clear" w:pos="1080"/>
          <w:tab w:val="left" w:pos="360"/>
        </w:tabs>
        <w:ind w:left="360" w:hanging="360"/>
        <w:jc w:val="left"/>
        <w:rPr>
          <w:rFonts w:ascii="Times New Roman" w:hAnsi="Times New Roman"/>
          <w:sz w:val="24"/>
          <w:szCs w:val="24"/>
        </w:rPr>
      </w:pPr>
      <w:bookmarkStart w:id="6" w:name="_Toc249364487"/>
      <w:r w:rsidRPr="00716420">
        <w:rPr>
          <w:rFonts w:ascii="Times New Roman" w:hAnsi="Times New Roman"/>
          <w:sz w:val="24"/>
          <w:szCs w:val="24"/>
        </w:rPr>
        <w:t>Future Work Plan (if applicable)</w:t>
      </w:r>
      <w:bookmarkEnd w:id="6"/>
    </w:p>
    <w:p w:rsidR="0099056A" w:rsidRPr="00716420" w:rsidRDefault="0099056A" w:rsidP="00D021E2">
      <w:pPr>
        <w:pStyle w:val="BodyText"/>
        <w:tabs>
          <w:tab w:val="left" w:pos="360"/>
        </w:tabs>
        <w:ind w:left="720"/>
        <w:rPr>
          <w:rFonts w:ascii="Times New Roman" w:hAnsi="Times New Roman"/>
          <w:bCs/>
          <w:sz w:val="24"/>
        </w:rPr>
        <w:sectPr w:rsidR="0099056A" w:rsidRPr="00716420" w:rsidSect="0096472B">
          <w:footerReference w:type="default" r:id="rId8"/>
          <w:footerReference w:type="first" r:id="rId9"/>
          <w:pgSz w:w="12240" w:h="15840" w:code="1"/>
          <w:pgMar w:top="810" w:right="990" w:bottom="1260" w:left="806" w:header="720" w:footer="418" w:gutter="0"/>
          <w:cols w:space="720"/>
          <w:docGrid w:linePitch="360"/>
        </w:sectPr>
      </w:pPr>
    </w:p>
    <w:p w:rsidR="0099056A" w:rsidRPr="00716420" w:rsidRDefault="0099056A" w:rsidP="00D021E2">
      <w:pPr>
        <w:pStyle w:val="BodyText"/>
        <w:tabs>
          <w:tab w:val="left" w:pos="360"/>
        </w:tabs>
        <w:ind w:left="720"/>
        <w:rPr>
          <w:rFonts w:ascii="Times New Roman" w:hAnsi="Times New Roman"/>
          <w:bCs/>
          <w:sz w:val="24"/>
        </w:rPr>
      </w:pPr>
    </w:p>
    <w:p w:rsidR="0099056A" w:rsidRPr="00716420" w:rsidRDefault="0051577A" w:rsidP="00D021E2">
      <w:pPr>
        <w:pStyle w:val="BodyText"/>
        <w:tabs>
          <w:tab w:val="left" w:pos="360"/>
        </w:tabs>
        <w:rPr>
          <w:rFonts w:ascii="Times New Roman" w:hAnsi="Times New Roman"/>
          <w:sz w:val="24"/>
        </w:rPr>
      </w:pPr>
      <w:r w:rsidRPr="0051577A">
        <w:rPr>
          <w:noProof/>
        </w:rPr>
        <w:pict>
          <v:shapetype id="_x0000_t202" coordsize="21600,21600" o:spt="202" path="m,l,21600r21600,l21600,xe">
            <v:stroke joinstyle="miter"/>
            <v:path gradientshapeok="t" o:connecttype="rect"/>
          </v:shapetype>
          <v:shape id="_x0000_s1030" type="#_x0000_t202" style="position:absolute;margin-left:1.65pt;margin-top:13.05pt;width:486pt;height:22.95pt;z-index:251659776" fillcolor="#f2f2f2" strokecolor="#d8d8d8">
            <v:textbox style="mso-next-textbox:#_x0000_s1030">
              <w:txbxContent>
                <w:p w:rsidR="00690A40" w:rsidRPr="001613F4" w:rsidRDefault="00690A40" w:rsidP="00AC7FD3">
                  <w:pPr>
                    <w:ind w:left="360"/>
                    <w:rPr>
                      <w:b/>
                    </w:rPr>
                  </w:pPr>
                  <w:r>
                    <w:rPr>
                      <w:b/>
                    </w:rPr>
                    <w:t>VIII. INDICATOR BASED PERFORMANCE ASSESSMENT</w:t>
                  </w:r>
                </w:p>
              </w:txbxContent>
            </v:textbox>
          </v:shape>
        </w:pict>
      </w:r>
    </w:p>
    <w:p w:rsidR="0099056A" w:rsidRPr="00716420" w:rsidRDefault="0099056A" w:rsidP="00D021E2">
      <w:pPr>
        <w:pStyle w:val="BodyText"/>
        <w:tabs>
          <w:tab w:val="left" w:pos="360"/>
        </w:tabs>
        <w:ind w:left="720"/>
        <w:rPr>
          <w:rFonts w:ascii="Times New Roman" w:hAnsi="Times New Roman"/>
          <w:sz w:val="24"/>
        </w:rPr>
      </w:pPr>
    </w:p>
    <w:p w:rsidR="0099056A" w:rsidRPr="00716420" w:rsidRDefault="0099056A" w:rsidP="00D021E2">
      <w:pPr>
        <w:pStyle w:val="BodyText"/>
        <w:tabs>
          <w:tab w:val="left" w:pos="360"/>
        </w:tabs>
        <w:ind w:left="720"/>
        <w:rPr>
          <w:rFonts w:ascii="Times New Roman" w:hAnsi="Times New Roman"/>
          <w:sz w:val="24"/>
        </w:rPr>
      </w:pPr>
    </w:p>
    <w:p w:rsidR="0099056A" w:rsidRPr="00716420" w:rsidRDefault="0099056A" w:rsidP="00D021E2">
      <w:pPr>
        <w:pStyle w:val="BodyText"/>
        <w:tabs>
          <w:tab w:val="left" w:pos="360"/>
        </w:tabs>
        <w:ind w:left="720"/>
        <w:rPr>
          <w:rFonts w:ascii="Times New Roman" w:hAnsi="Times New Roman"/>
          <w:sz w:val="24"/>
        </w:rPr>
      </w:pPr>
    </w:p>
    <w:p w:rsidR="0099056A" w:rsidRPr="00716420" w:rsidRDefault="0099056A" w:rsidP="00D021E2">
      <w:pPr>
        <w:pStyle w:val="BodyText"/>
        <w:rPr>
          <w:rFonts w:ascii="Times New Roman" w:hAnsi="Times New Roman"/>
          <w:sz w:val="24"/>
        </w:rPr>
      </w:pPr>
    </w:p>
    <w:sectPr w:rsidR="0099056A" w:rsidRPr="00716420" w:rsidSect="0036774E">
      <w:pgSz w:w="15840" w:h="12240" w:orient="landscape" w:code="1"/>
      <w:pgMar w:top="806" w:right="810" w:bottom="810" w:left="1354" w:header="720" w:footer="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897" w:rsidRDefault="002F5897">
      <w:r>
        <w:separator/>
      </w:r>
    </w:p>
  </w:endnote>
  <w:endnote w:type="continuationSeparator" w:id="0">
    <w:p w:rsidR="002F5897" w:rsidRDefault="002F58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40" w:rsidRDefault="00690A40">
    <w:pPr>
      <w:pStyle w:val="Footer"/>
      <w:pBdr>
        <w:top w:val="single" w:sz="4" w:space="1" w:color="auto"/>
      </w:pBdr>
      <w:tabs>
        <w:tab w:val="clear" w:pos="4320"/>
        <w:tab w:val="clear" w:pos="8640"/>
        <w:tab w:val="center" w:pos="4500"/>
        <w:tab w:val="right" w:pos="900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sidR="0051577A">
      <w:rPr>
        <w:rFonts w:ascii="Arial" w:hAnsi="Arial" w:cs="Arial"/>
        <w:sz w:val="18"/>
        <w:szCs w:val="18"/>
      </w:rPr>
      <w:fldChar w:fldCharType="begin"/>
    </w:r>
    <w:r>
      <w:rPr>
        <w:rFonts w:ascii="Arial" w:hAnsi="Arial" w:cs="Arial"/>
        <w:sz w:val="18"/>
        <w:szCs w:val="18"/>
      </w:rPr>
      <w:instrText xml:space="preserve"> PAGE   \* MERGEFORMAT </w:instrText>
    </w:r>
    <w:r w:rsidR="0051577A">
      <w:rPr>
        <w:rFonts w:ascii="Arial" w:hAnsi="Arial" w:cs="Arial"/>
        <w:sz w:val="18"/>
        <w:szCs w:val="18"/>
      </w:rPr>
      <w:fldChar w:fldCharType="separate"/>
    </w:r>
    <w:r w:rsidR="002004A8">
      <w:rPr>
        <w:rFonts w:ascii="Arial" w:hAnsi="Arial" w:cs="Arial"/>
        <w:noProof/>
        <w:sz w:val="18"/>
        <w:szCs w:val="18"/>
      </w:rPr>
      <w:t>1</w:t>
    </w:r>
    <w:r w:rsidR="0051577A">
      <w:rPr>
        <w:rFonts w:ascii="Arial" w:hAnsi="Arial" w:cs="Arial"/>
        <w:sz w:val="18"/>
        <w:szCs w:val="18"/>
      </w:rPr>
      <w:fldChar w:fldCharType="end"/>
    </w:r>
    <w:r>
      <w:rPr>
        <w:rFonts w:ascii="Arial" w:hAnsi="Arial" w:cs="Arial"/>
        <w:sz w:val="18"/>
        <w:szCs w:val="18"/>
      </w:rPr>
      <w:t xml:space="preserve"> of </w:t>
    </w:r>
    <w:fldSimple w:instr=" NUMPAGES   \* MERGEFORMAT ">
      <w:r w:rsidR="002004A8" w:rsidRPr="002004A8">
        <w:rPr>
          <w:rFonts w:ascii="Arial" w:hAnsi="Arial" w:cs="Arial"/>
          <w:noProof/>
          <w:sz w:val="18"/>
          <w:szCs w:val="18"/>
        </w:rPr>
        <w:t>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40" w:rsidRDefault="00690A40">
    <w:pPr>
      <w:pStyle w:val="Footer"/>
      <w:pBdr>
        <w:top w:val="single" w:sz="4" w:space="1" w:color="auto"/>
      </w:pBdr>
      <w:tabs>
        <w:tab w:val="clear" w:pos="4320"/>
        <w:tab w:val="clear" w:pos="8640"/>
        <w:tab w:val="center" w:pos="4500"/>
        <w:tab w:val="right" w:pos="9000"/>
      </w:tabs>
      <w:rPr>
        <w:rFonts w:ascii="Arial" w:hAnsi="Arial" w:cs="Arial"/>
        <w:sz w:val="18"/>
        <w:szCs w:val="18"/>
      </w:rPr>
    </w:pPr>
    <w:r>
      <w:rPr>
        <w:rFonts w:ascii="Arial" w:hAnsi="Arial" w:cs="Arial"/>
        <w:sz w:val="18"/>
        <w:szCs w:val="18"/>
      </w:rPr>
      <w:t>Sixth Six-Month Progress Report</w:t>
    </w:r>
    <w:r>
      <w:rPr>
        <w:rFonts w:ascii="Arial" w:hAnsi="Arial" w:cs="Arial"/>
        <w:sz w:val="18"/>
        <w:szCs w:val="18"/>
      </w:rPr>
      <w:tab/>
      <w:t xml:space="preserve">1 January – </w:t>
    </w:r>
    <w:smartTag w:uri="urn:schemas-microsoft-com:office:smarttags" w:element="date">
      <w:smartTagPr>
        <w:attr w:name="Month" w:val="6"/>
        <w:attr w:name="Day" w:val="30"/>
        <w:attr w:name="Year" w:val="2007"/>
      </w:smartTagPr>
      <w:r>
        <w:rPr>
          <w:rFonts w:ascii="Arial" w:hAnsi="Arial" w:cs="Arial"/>
          <w:sz w:val="18"/>
          <w:szCs w:val="18"/>
        </w:rPr>
        <w:t>30 June 2007</w:t>
      </w:r>
    </w:smartTag>
    <w:r>
      <w:rPr>
        <w:rFonts w:ascii="Arial" w:hAnsi="Arial" w:cs="Arial"/>
        <w:sz w:val="18"/>
        <w:szCs w:val="18"/>
      </w:rPr>
      <w:tab/>
      <w:t xml:space="preserve">Page </w:t>
    </w:r>
    <w:r w:rsidR="0051577A">
      <w:rPr>
        <w:rFonts w:ascii="Arial" w:hAnsi="Arial" w:cs="Arial"/>
        <w:sz w:val="18"/>
        <w:szCs w:val="18"/>
      </w:rPr>
      <w:fldChar w:fldCharType="begin"/>
    </w:r>
    <w:r>
      <w:rPr>
        <w:rFonts w:ascii="Arial" w:hAnsi="Arial" w:cs="Arial"/>
        <w:sz w:val="18"/>
        <w:szCs w:val="18"/>
      </w:rPr>
      <w:instrText xml:space="preserve"> PAGE   \* MERGEFORMAT </w:instrText>
    </w:r>
    <w:r w:rsidR="0051577A">
      <w:rPr>
        <w:rFonts w:ascii="Arial" w:hAnsi="Arial" w:cs="Arial"/>
        <w:sz w:val="18"/>
        <w:szCs w:val="18"/>
      </w:rPr>
      <w:fldChar w:fldCharType="separate"/>
    </w:r>
    <w:r>
      <w:rPr>
        <w:rFonts w:ascii="Arial" w:hAnsi="Arial" w:cs="Arial"/>
        <w:noProof/>
        <w:sz w:val="18"/>
        <w:szCs w:val="18"/>
      </w:rPr>
      <w:t>5</w:t>
    </w:r>
    <w:r w:rsidR="0051577A">
      <w:rPr>
        <w:rFonts w:ascii="Arial" w:hAnsi="Arial" w:cs="Arial"/>
        <w:sz w:val="18"/>
        <w:szCs w:val="18"/>
      </w:rPr>
      <w:fldChar w:fldCharType="end"/>
    </w:r>
    <w:r>
      <w:rPr>
        <w:rFonts w:ascii="Arial" w:hAnsi="Arial" w:cs="Arial"/>
        <w:sz w:val="18"/>
        <w:szCs w:val="18"/>
      </w:rPr>
      <w:t xml:space="preserve"> of </w:t>
    </w:r>
    <w:fldSimple w:instr=" NUMPAGES   \* MERGEFORMAT ">
      <w:r w:rsidRPr="007830D6">
        <w:rPr>
          <w:rFonts w:ascii="Arial" w:hAnsi="Arial" w:cs="Arial"/>
          <w:noProof/>
          <w:sz w:val="18"/>
          <w:szCs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897" w:rsidRDefault="002F5897">
      <w:r>
        <w:separator/>
      </w:r>
    </w:p>
  </w:footnote>
  <w:footnote w:type="continuationSeparator" w:id="0">
    <w:p w:rsidR="002F5897" w:rsidRDefault="002F5897">
      <w:r>
        <w:continuationSeparator/>
      </w:r>
    </w:p>
  </w:footnote>
  <w:footnote w:id="1">
    <w:p w:rsidR="00690A40" w:rsidRDefault="00690A40" w:rsidP="00AB0274">
      <w:pPr>
        <w:pStyle w:val="FootnoteText"/>
      </w:pPr>
      <w:r>
        <w:rPr>
          <w:rStyle w:val="FootnoteReference"/>
        </w:rPr>
        <w:footnoteRef/>
      </w:r>
      <w:r>
        <w:t xml:space="preserve"> </w:t>
      </w:r>
      <w:r w:rsidRPr="00D4003B">
        <w:t>The term “</w:t>
      </w:r>
      <w:proofErr w:type="spellStart"/>
      <w:r w:rsidRPr="00D4003B">
        <w:t>programme</w:t>
      </w:r>
      <w:proofErr w:type="spellEnd"/>
      <w:r w:rsidRPr="00D4003B">
        <w:t xml:space="preserve">” is used for </w:t>
      </w:r>
      <w:proofErr w:type="spellStart"/>
      <w:r>
        <w:t>programmes</w:t>
      </w:r>
      <w:proofErr w:type="spellEnd"/>
      <w:r>
        <w:t xml:space="preserve">, </w:t>
      </w:r>
      <w:r w:rsidRPr="00D4003B">
        <w:t xml:space="preserve">joint </w:t>
      </w:r>
      <w:proofErr w:type="spellStart"/>
      <w:r w:rsidRPr="00D4003B">
        <w:t>programmes</w:t>
      </w:r>
      <w:proofErr w:type="spellEnd"/>
      <w:r>
        <w:t xml:space="preserve"> and projects.</w:t>
      </w:r>
    </w:p>
  </w:footnote>
  <w:footnote w:id="2">
    <w:p w:rsidR="00690A40" w:rsidRDefault="00690A40">
      <w:pPr>
        <w:pStyle w:val="FootnoteText"/>
      </w:pPr>
      <w:r>
        <w:rPr>
          <w:rStyle w:val="FootnoteReference"/>
        </w:rPr>
        <w:footnoteRef/>
      </w:r>
      <w:r>
        <w:t xml:space="preserve"> </w:t>
      </w:r>
      <w:proofErr w:type="gramStart"/>
      <w:r>
        <w:t xml:space="preserve">Priority Area for the </w:t>
      </w:r>
      <w:proofErr w:type="spellStart"/>
      <w:r>
        <w:t>Peacebuilding</w:t>
      </w:r>
      <w:proofErr w:type="spellEnd"/>
      <w:r>
        <w:t xml:space="preserve"> Fund; Sector for the UNDG ITF.</w:t>
      </w:r>
      <w:proofErr w:type="gramEnd"/>
    </w:p>
  </w:footnote>
  <w:footnote w:id="3">
    <w:p w:rsidR="00690A40" w:rsidRDefault="00690A40" w:rsidP="000134CC">
      <w:pPr>
        <w:pStyle w:val="FootnoteText"/>
      </w:pPr>
      <w:r>
        <w:rPr>
          <w:rStyle w:val="FootnoteReference"/>
        </w:rPr>
        <w:footnoteRef/>
      </w:r>
      <w:r>
        <w:t xml:space="preserve"> The start date is the date of the first transfer of the funds from the MDTF Office as Administrative Agent. Transfer date is available on the </w:t>
      </w:r>
      <w:hyperlink r:id="rId1" w:history="1">
        <w:r w:rsidRPr="0014549D">
          <w:rPr>
            <w:rStyle w:val="Hyperlink"/>
          </w:rPr>
          <w:t>MDTF Office GATEWAY</w:t>
        </w:r>
      </w:hyperlink>
      <w:r>
        <w:t xml:space="preserve"> (http://mdtf.undp.org).</w:t>
      </w:r>
    </w:p>
  </w:footnote>
  <w:footnote w:id="4">
    <w:p w:rsidR="00690A40" w:rsidRDefault="00690A40" w:rsidP="000134CC">
      <w:pPr>
        <w:pStyle w:val="FootnoteText"/>
      </w:pPr>
      <w:r>
        <w:rPr>
          <w:rStyle w:val="FootnoteReference"/>
        </w:rPr>
        <w:footnoteRef/>
      </w:r>
      <w:r>
        <w:t xml:space="preserve"> All activities for which a Participating Organization is responsible under an approved MDTF </w:t>
      </w:r>
      <w:proofErr w:type="spellStart"/>
      <w:r>
        <w:t>programme</w:t>
      </w:r>
      <w:proofErr w:type="spellEnd"/>
      <w:r>
        <w:t xml:space="preserve"> have been completed. </w:t>
      </w:r>
      <w:proofErr w:type="gramStart"/>
      <w:r>
        <w:t>Agencies to advise the MDTF Office.</w:t>
      </w:r>
      <w:proofErr w:type="gramEnd"/>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75pt;height:4.75pt" o:bullet="t">
        <v:imagedata r:id="rId1" o:title=""/>
      </v:shape>
    </w:pict>
  </w:numPicBullet>
  <w:numPicBullet w:numPicBulletId="1">
    <w:pict>
      <v:shape id="_x0000_i1051" type="#_x0000_t75" style="width:3in;height:3in" o:bullet="t">
        <v:imagedata r:id="rId2" o:title=""/>
      </v:shape>
    </w:pict>
  </w:numPicBullet>
  <w:abstractNum w:abstractNumId="0">
    <w:nsid w:val="01A53394"/>
    <w:multiLevelType w:val="hybridMultilevel"/>
    <w:tmpl w:val="7A7A04C2"/>
    <w:lvl w:ilvl="0" w:tplc="3A9E07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23764"/>
    <w:multiLevelType w:val="hybridMultilevel"/>
    <w:tmpl w:val="6A4EA52E"/>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77EE3"/>
    <w:multiLevelType w:val="hybridMultilevel"/>
    <w:tmpl w:val="354AC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310A49"/>
    <w:multiLevelType w:val="hybridMultilevel"/>
    <w:tmpl w:val="9FEC9F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B5570"/>
    <w:multiLevelType w:val="hybridMultilevel"/>
    <w:tmpl w:val="012092BC"/>
    <w:lvl w:ilvl="0" w:tplc="A0624842">
      <w:start w:val="1"/>
      <w:numFmt w:val="upperRoman"/>
      <w:lvlText w:val="%1."/>
      <w:lvlJc w:val="left"/>
      <w:pPr>
        <w:tabs>
          <w:tab w:val="num" w:pos="1080"/>
        </w:tabs>
        <w:ind w:left="1080" w:hanging="720"/>
      </w:pPr>
      <w:rPr>
        <w:rFonts w:cs="Times New Roman" w:hint="default"/>
      </w:rPr>
    </w:lvl>
    <w:lvl w:ilvl="1" w:tplc="862A952A">
      <w:numFmt w:val="none"/>
      <w:lvlText w:val=""/>
      <w:lvlJc w:val="left"/>
      <w:pPr>
        <w:tabs>
          <w:tab w:val="num" w:pos="360"/>
        </w:tabs>
      </w:pPr>
      <w:rPr>
        <w:rFonts w:cs="Times New Roman"/>
      </w:rPr>
    </w:lvl>
    <w:lvl w:ilvl="2" w:tplc="E7485428">
      <w:numFmt w:val="none"/>
      <w:lvlText w:val=""/>
      <w:lvlJc w:val="left"/>
      <w:pPr>
        <w:tabs>
          <w:tab w:val="num" w:pos="360"/>
        </w:tabs>
      </w:pPr>
      <w:rPr>
        <w:rFonts w:cs="Times New Roman"/>
      </w:rPr>
    </w:lvl>
    <w:lvl w:ilvl="3" w:tplc="FD789764">
      <w:numFmt w:val="none"/>
      <w:lvlText w:val=""/>
      <w:lvlJc w:val="left"/>
      <w:pPr>
        <w:tabs>
          <w:tab w:val="num" w:pos="360"/>
        </w:tabs>
      </w:pPr>
      <w:rPr>
        <w:rFonts w:cs="Times New Roman"/>
      </w:rPr>
    </w:lvl>
    <w:lvl w:ilvl="4" w:tplc="5EFA0FBC">
      <w:numFmt w:val="none"/>
      <w:lvlText w:val=""/>
      <w:lvlJc w:val="left"/>
      <w:pPr>
        <w:tabs>
          <w:tab w:val="num" w:pos="360"/>
        </w:tabs>
      </w:pPr>
      <w:rPr>
        <w:rFonts w:cs="Times New Roman"/>
      </w:rPr>
    </w:lvl>
    <w:lvl w:ilvl="5" w:tplc="1336440C">
      <w:numFmt w:val="none"/>
      <w:lvlText w:val=""/>
      <w:lvlJc w:val="left"/>
      <w:pPr>
        <w:tabs>
          <w:tab w:val="num" w:pos="360"/>
        </w:tabs>
      </w:pPr>
      <w:rPr>
        <w:rFonts w:cs="Times New Roman"/>
      </w:rPr>
    </w:lvl>
    <w:lvl w:ilvl="6" w:tplc="D87228D2">
      <w:numFmt w:val="none"/>
      <w:lvlText w:val=""/>
      <w:lvlJc w:val="left"/>
      <w:pPr>
        <w:tabs>
          <w:tab w:val="num" w:pos="360"/>
        </w:tabs>
      </w:pPr>
      <w:rPr>
        <w:rFonts w:cs="Times New Roman"/>
      </w:rPr>
    </w:lvl>
    <w:lvl w:ilvl="7" w:tplc="49E6716E">
      <w:numFmt w:val="none"/>
      <w:lvlText w:val=""/>
      <w:lvlJc w:val="left"/>
      <w:pPr>
        <w:tabs>
          <w:tab w:val="num" w:pos="360"/>
        </w:tabs>
      </w:pPr>
      <w:rPr>
        <w:rFonts w:cs="Times New Roman"/>
      </w:rPr>
    </w:lvl>
    <w:lvl w:ilvl="8" w:tplc="035EA2D6">
      <w:numFmt w:val="none"/>
      <w:lvlText w:val=""/>
      <w:lvlJc w:val="left"/>
      <w:pPr>
        <w:tabs>
          <w:tab w:val="num" w:pos="360"/>
        </w:tabs>
      </w:pPr>
      <w:rPr>
        <w:rFonts w:cs="Times New Roman"/>
      </w:rPr>
    </w:lvl>
  </w:abstractNum>
  <w:abstractNum w:abstractNumId="5">
    <w:nsid w:val="1EF96AC1"/>
    <w:multiLevelType w:val="hybridMultilevel"/>
    <w:tmpl w:val="373E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357DA"/>
    <w:multiLevelType w:val="hybridMultilevel"/>
    <w:tmpl w:val="C7F105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6CD2714"/>
    <w:multiLevelType w:val="hybridMultilevel"/>
    <w:tmpl w:val="9FEC9F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F44D2"/>
    <w:multiLevelType w:val="hybridMultilevel"/>
    <w:tmpl w:val="E8A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C96C5D"/>
    <w:multiLevelType w:val="hybridMultilevel"/>
    <w:tmpl w:val="85F6B3A2"/>
    <w:lvl w:ilvl="0" w:tplc="3A9E07C8">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E97AB0"/>
    <w:multiLevelType w:val="hybridMultilevel"/>
    <w:tmpl w:val="14426B1E"/>
    <w:lvl w:ilvl="0" w:tplc="3A9E07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A7A41"/>
    <w:multiLevelType w:val="hybridMultilevel"/>
    <w:tmpl w:val="E33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3A43E4"/>
    <w:multiLevelType w:val="hybridMultilevel"/>
    <w:tmpl w:val="97948C28"/>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A21652"/>
    <w:multiLevelType w:val="hybridMultilevel"/>
    <w:tmpl w:val="07C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3B6BDD"/>
    <w:multiLevelType w:val="hybridMultilevel"/>
    <w:tmpl w:val="ADE470BE"/>
    <w:lvl w:ilvl="0" w:tplc="8E1C5C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BC6EC2"/>
    <w:multiLevelType w:val="hybridMultilevel"/>
    <w:tmpl w:val="D3F298F8"/>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53311A"/>
    <w:multiLevelType w:val="hybridMultilevel"/>
    <w:tmpl w:val="9FEC9F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D23F82"/>
    <w:multiLevelType w:val="hybridMultilevel"/>
    <w:tmpl w:val="B49EA15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5"/>
  </w:num>
  <w:num w:numId="5">
    <w:abstractNumId w:val="1"/>
  </w:num>
  <w:num w:numId="6">
    <w:abstractNumId w:val="9"/>
  </w:num>
  <w:num w:numId="7">
    <w:abstractNumId w:val="12"/>
  </w:num>
  <w:num w:numId="8">
    <w:abstractNumId w:val="11"/>
  </w:num>
  <w:num w:numId="9">
    <w:abstractNumId w:val="14"/>
  </w:num>
  <w:num w:numId="10">
    <w:abstractNumId w:val="5"/>
  </w:num>
  <w:num w:numId="11">
    <w:abstractNumId w:val="8"/>
  </w:num>
  <w:num w:numId="12">
    <w:abstractNumId w:val="17"/>
  </w:num>
  <w:num w:numId="13">
    <w:abstractNumId w:val="6"/>
  </w:num>
  <w:num w:numId="14">
    <w:abstractNumId w:val="3"/>
  </w:num>
  <w:num w:numId="15">
    <w:abstractNumId w:val="2"/>
  </w:num>
  <w:num w:numId="16">
    <w:abstractNumId w:val="16"/>
  </w:num>
  <w:num w:numId="17">
    <w:abstractNumId w:val="7"/>
  </w:num>
  <w:num w:numId="18">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F2AC2"/>
    <w:rsid w:val="00003AEB"/>
    <w:rsid w:val="000078BC"/>
    <w:rsid w:val="00007ECE"/>
    <w:rsid w:val="000121B0"/>
    <w:rsid w:val="000134CC"/>
    <w:rsid w:val="00016418"/>
    <w:rsid w:val="00024F9B"/>
    <w:rsid w:val="0002794F"/>
    <w:rsid w:val="000308D4"/>
    <w:rsid w:val="00031DC9"/>
    <w:rsid w:val="00043245"/>
    <w:rsid w:val="00052FF4"/>
    <w:rsid w:val="00053B47"/>
    <w:rsid w:val="00057D1D"/>
    <w:rsid w:val="00064352"/>
    <w:rsid w:val="00066978"/>
    <w:rsid w:val="0007153B"/>
    <w:rsid w:val="00084444"/>
    <w:rsid w:val="00090D90"/>
    <w:rsid w:val="00092501"/>
    <w:rsid w:val="00094B2F"/>
    <w:rsid w:val="00096711"/>
    <w:rsid w:val="000968C1"/>
    <w:rsid w:val="000A126F"/>
    <w:rsid w:val="000A146E"/>
    <w:rsid w:val="000A3730"/>
    <w:rsid w:val="000A5536"/>
    <w:rsid w:val="000B599B"/>
    <w:rsid w:val="000B7D96"/>
    <w:rsid w:val="000C0119"/>
    <w:rsid w:val="000C03EE"/>
    <w:rsid w:val="000C0B78"/>
    <w:rsid w:val="000C2A11"/>
    <w:rsid w:val="000C35B0"/>
    <w:rsid w:val="000C656D"/>
    <w:rsid w:val="000D3734"/>
    <w:rsid w:val="000D3832"/>
    <w:rsid w:val="000D6D9C"/>
    <w:rsid w:val="000F1ED3"/>
    <w:rsid w:val="000F23F3"/>
    <w:rsid w:val="00106A96"/>
    <w:rsid w:val="00107760"/>
    <w:rsid w:val="00114C7D"/>
    <w:rsid w:val="00115866"/>
    <w:rsid w:val="0011699C"/>
    <w:rsid w:val="00122622"/>
    <w:rsid w:val="00122EE6"/>
    <w:rsid w:val="0012303A"/>
    <w:rsid w:val="00123EC0"/>
    <w:rsid w:val="00124B56"/>
    <w:rsid w:val="00126292"/>
    <w:rsid w:val="00132552"/>
    <w:rsid w:val="0013530A"/>
    <w:rsid w:val="0013612C"/>
    <w:rsid w:val="00136A69"/>
    <w:rsid w:val="00144ED5"/>
    <w:rsid w:val="0014549D"/>
    <w:rsid w:val="00145891"/>
    <w:rsid w:val="00146226"/>
    <w:rsid w:val="0015472D"/>
    <w:rsid w:val="00154D97"/>
    <w:rsid w:val="0015763B"/>
    <w:rsid w:val="0016024C"/>
    <w:rsid w:val="001602DF"/>
    <w:rsid w:val="00160579"/>
    <w:rsid w:val="00160809"/>
    <w:rsid w:val="001613F4"/>
    <w:rsid w:val="00164424"/>
    <w:rsid w:val="001649DC"/>
    <w:rsid w:val="00165038"/>
    <w:rsid w:val="00170DD0"/>
    <w:rsid w:val="00171470"/>
    <w:rsid w:val="001737DA"/>
    <w:rsid w:val="001854AB"/>
    <w:rsid w:val="0018785F"/>
    <w:rsid w:val="00193B41"/>
    <w:rsid w:val="001957DC"/>
    <w:rsid w:val="00197C6B"/>
    <w:rsid w:val="001A2C73"/>
    <w:rsid w:val="001A5801"/>
    <w:rsid w:val="001C1E68"/>
    <w:rsid w:val="001C209F"/>
    <w:rsid w:val="001D242B"/>
    <w:rsid w:val="001D4CA5"/>
    <w:rsid w:val="001D757B"/>
    <w:rsid w:val="001E101F"/>
    <w:rsid w:val="001E21A6"/>
    <w:rsid w:val="001E2946"/>
    <w:rsid w:val="001F0CA6"/>
    <w:rsid w:val="001F4683"/>
    <w:rsid w:val="001F4D9E"/>
    <w:rsid w:val="002004A8"/>
    <w:rsid w:val="002025D6"/>
    <w:rsid w:val="00205F81"/>
    <w:rsid w:val="00206941"/>
    <w:rsid w:val="0021182F"/>
    <w:rsid w:val="00212FEB"/>
    <w:rsid w:val="00213E87"/>
    <w:rsid w:val="00215D1B"/>
    <w:rsid w:val="002179BB"/>
    <w:rsid w:val="00220D29"/>
    <w:rsid w:val="002219AC"/>
    <w:rsid w:val="0023201B"/>
    <w:rsid w:val="00233E28"/>
    <w:rsid w:val="00234CC4"/>
    <w:rsid w:val="0023529C"/>
    <w:rsid w:val="00243F99"/>
    <w:rsid w:val="00251130"/>
    <w:rsid w:val="00255B0E"/>
    <w:rsid w:val="0025606E"/>
    <w:rsid w:val="002637DC"/>
    <w:rsid w:val="0026644C"/>
    <w:rsid w:val="0027001F"/>
    <w:rsid w:val="00270043"/>
    <w:rsid w:val="00272586"/>
    <w:rsid w:val="00273D78"/>
    <w:rsid w:val="00274F02"/>
    <w:rsid w:val="00275A4A"/>
    <w:rsid w:val="002801C6"/>
    <w:rsid w:val="002805D4"/>
    <w:rsid w:val="00280FB9"/>
    <w:rsid w:val="00284411"/>
    <w:rsid w:val="00285B7D"/>
    <w:rsid w:val="002A02A4"/>
    <w:rsid w:val="002A0C41"/>
    <w:rsid w:val="002A3031"/>
    <w:rsid w:val="002A340B"/>
    <w:rsid w:val="002A5950"/>
    <w:rsid w:val="002A6952"/>
    <w:rsid w:val="002A7665"/>
    <w:rsid w:val="002B14C9"/>
    <w:rsid w:val="002B2B6B"/>
    <w:rsid w:val="002B7351"/>
    <w:rsid w:val="002C126A"/>
    <w:rsid w:val="002C4A03"/>
    <w:rsid w:val="002C690B"/>
    <w:rsid w:val="002E50CF"/>
    <w:rsid w:val="002E77D1"/>
    <w:rsid w:val="002F1156"/>
    <w:rsid w:val="002F3EFE"/>
    <w:rsid w:val="002F5897"/>
    <w:rsid w:val="002F5953"/>
    <w:rsid w:val="002F713A"/>
    <w:rsid w:val="0030509D"/>
    <w:rsid w:val="00310168"/>
    <w:rsid w:val="00310C19"/>
    <w:rsid w:val="00312685"/>
    <w:rsid w:val="00314A5F"/>
    <w:rsid w:val="00315446"/>
    <w:rsid w:val="00320895"/>
    <w:rsid w:val="00330077"/>
    <w:rsid w:val="0033662C"/>
    <w:rsid w:val="003369D5"/>
    <w:rsid w:val="0034386B"/>
    <w:rsid w:val="00346FFE"/>
    <w:rsid w:val="0034788C"/>
    <w:rsid w:val="003507AD"/>
    <w:rsid w:val="00351A14"/>
    <w:rsid w:val="00356D08"/>
    <w:rsid w:val="00360431"/>
    <w:rsid w:val="00360501"/>
    <w:rsid w:val="00360945"/>
    <w:rsid w:val="0036774E"/>
    <w:rsid w:val="00375FFA"/>
    <w:rsid w:val="003815EF"/>
    <w:rsid w:val="00382573"/>
    <w:rsid w:val="003879DF"/>
    <w:rsid w:val="00390F98"/>
    <w:rsid w:val="00396D76"/>
    <w:rsid w:val="003A1AF5"/>
    <w:rsid w:val="003A77A2"/>
    <w:rsid w:val="003A7D5D"/>
    <w:rsid w:val="003B0303"/>
    <w:rsid w:val="003B454A"/>
    <w:rsid w:val="003B6011"/>
    <w:rsid w:val="003C1A52"/>
    <w:rsid w:val="003C3941"/>
    <w:rsid w:val="003C3FC0"/>
    <w:rsid w:val="003C4D74"/>
    <w:rsid w:val="003D13A8"/>
    <w:rsid w:val="003D210A"/>
    <w:rsid w:val="003D3325"/>
    <w:rsid w:val="003D4331"/>
    <w:rsid w:val="003E51E4"/>
    <w:rsid w:val="003E62C0"/>
    <w:rsid w:val="003F01CE"/>
    <w:rsid w:val="003F321A"/>
    <w:rsid w:val="00404560"/>
    <w:rsid w:val="00405A55"/>
    <w:rsid w:val="0041185F"/>
    <w:rsid w:val="004160BF"/>
    <w:rsid w:val="00417B11"/>
    <w:rsid w:val="00422D8B"/>
    <w:rsid w:val="00423A4D"/>
    <w:rsid w:val="00427179"/>
    <w:rsid w:val="00432267"/>
    <w:rsid w:val="00435C09"/>
    <w:rsid w:val="00440A0C"/>
    <w:rsid w:val="00442C6B"/>
    <w:rsid w:val="00452ED1"/>
    <w:rsid w:val="00455DEA"/>
    <w:rsid w:val="004600E3"/>
    <w:rsid w:val="00465486"/>
    <w:rsid w:val="004658BE"/>
    <w:rsid w:val="00465B26"/>
    <w:rsid w:val="00466449"/>
    <w:rsid w:val="00466DEB"/>
    <w:rsid w:val="00466E3B"/>
    <w:rsid w:val="00470009"/>
    <w:rsid w:val="00471235"/>
    <w:rsid w:val="0047708F"/>
    <w:rsid w:val="00480C5E"/>
    <w:rsid w:val="00482220"/>
    <w:rsid w:val="00484BBB"/>
    <w:rsid w:val="004863CF"/>
    <w:rsid w:val="004A0A50"/>
    <w:rsid w:val="004B5AAB"/>
    <w:rsid w:val="004C0AE9"/>
    <w:rsid w:val="004C62BF"/>
    <w:rsid w:val="004D1571"/>
    <w:rsid w:val="004D52B0"/>
    <w:rsid w:val="004E4B51"/>
    <w:rsid w:val="004E7392"/>
    <w:rsid w:val="004F5F38"/>
    <w:rsid w:val="004F6B31"/>
    <w:rsid w:val="004F71AC"/>
    <w:rsid w:val="00500253"/>
    <w:rsid w:val="005014CA"/>
    <w:rsid w:val="00510055"/>
    <w:rsid w:val="00510D98"/>
    <w:rsid w:val="0051577A"/>
    <w:rsid w:val="00521F30"/>
    <w:rsid w:val="00525CE6"/>
    <w:rsid w:val="0052663C"/>
    <w:rsid w:val="005268DC"/>
    <w:rsid w:val="00526EED"/>
    <w:rsid w:val="0052760B"/>
    <w:rsid w:val="00527D64"/>
    <w:rsid w:val="00530661"/>
    <w:rsid w:val="0053545E"/>
    <w:rsid w:val="00537107"/>
    <w:rsid w:val="00537CAD"/>
    <w:rsid w:val="00540142"/>
    <w:rsid w:val="00540389"/>
    <w:rsid w:val="005473D7"/>
    <w:rsid w:val="00555A12"/>
    <w:rsid w:val="005578E7"/>
    <w:rsid w:val="00573DAD"/>
    <w:rsid w:val="00581F54"/>
    <w:rsid w:val="005875C1"/>
    <w:rsid w:val="0059646F"/>
    <w:rsid w:val="005A0F3F"/>
    <w:rsid w:val="005A5D70"/>
    <w:rsid w:val="005B1151"/>
    <w:rsid w:val="005B1CBB"/>
    <w:rsid w:val="005B4B46"/>
    <w:rsid w:val="005B607F"/>
    <w:rsid w:val="005C0233"/>
    <w:rsid w:val="005C1731"/>
    <w:rsid w:val="005D27D4"/>
    <w:rsid w:val="005D5D53"/>
    <w:rsid w:val="005D746B"/>
    <w:rsid w:val="005E4EDD"/>
    <w:rsid w:val="005F0467"/>
    <w:rsid w:val="005F19C1"/>
    <w:rsid w:val="006002EE"/>
    <w:rsid w:val="00601E0F"/>
    <w:rsid w:val="006020B1"/>
    <w:rsid w:val="006053F9"/>
    <w:rsid w:val="006117B9"/>
    <w:rsid w:val="00615E8B"/>
    <w:rsid w:val="00617CFC"/>
    <w:rsid w:val="0063744E"/>
    <w:rsid w:val="00641437"/>
    <w:rsid w:val="006447B1"/>
    <w:rsid w:val="00645E3A"/>
    <w:rsid w:val="00650E20"/>
    <w:rsid w:val="0065590C"/>
    <w:rsid w:val="00655D27"/>
    <w:rsid w:val="00656759"/>
    <w:rsid w:val="0065708D"/>
    <w:rsid w:val="006602F1"/>
    <w:rsid w:val="006650DC"/>
    <w:rsid w:val="00670345"/>
    <w:rsid w:val="00673516"/>
    <w:rsid w:val="00675934"/>
    <w:rsid w:val="00675DCC"/>
    <w:rsid w:val="00676842"/>
    <w:rsid w:val="0068194C"/>
    <w:rsid w:val="00685ABC"/>
    <w:rsid w:val="00690A40"/>
    <w:rsid w:val="00693899"/>
    <w:rsid w:val="006A1378"/>
    <w:rsid w:val="006B42EB"/>
    <w:rsid w:val="006D15B6"/>
    <w:rsid w:val="006D1A19"/>
    <w:rsid w:val="006D3D21"/>
    <w:rsid w:val="006E738F"/>
    <w:rsid w:val="006F0970"/>
    <w:rsid w:val="006F1D4C"/>
    <w:rsid w:val="006F4639"/>
    <w:rsid w:val="006F4B8B"/>
    <w:rsid w:val="006F4E81"/>
    <w:rsid w:val="006F7271"/>
    <w:rsid w:val="0070304F"/>
    <w:rsid w:val="007041E5"/>
    <w:rsid w:val="0070460B"/>
    <w:rsid w:val="0070583F"/>
    <w:rsid w:val="0071507D"/>
    <w:rsid w:val="00716420"/>
    <w:rsid w:val="00717598"/>
    <w:rsid w:val="00717C7A"/>
    <w:rsid w:val="00730077"/>
    <w:rsid w:val="00733BB2"/>
    <w:rsid w:val="007416AC"/>
    <w:rsid w:val="00744618"/>
    <w:rsid w:val="00747763"/>
    <w:rsid w:val="007501B3"/>
    <w:rsid w:val="00760206"/>
    <w:rsid w:val="007626D9"/>
    <w:rsid w:val="00764769"/>
    <w:rsid w:val="00766AF4"/>
    <w:rsid w:val="00766B02"/>
    <w:rsid w:val="00771F7F"/>
    <w:rsid w:val="007723A7"/>
    <w:rsid w:val="0077310A"/>
    <w:rsid w:val="00782335"/>
    <w:rsid w:val="007830D6"/>
    <w:rsid w:val="00785B26"/>
    <w:rsid w:val="007919B6"/>
    <w:rsid w:val="007B641A"/>
    <w:rsid w:val="007D00E3"/>
    <w:rsid w:val="007D2490"/>
    <w:rsid w:val="007D6A18"/>
    <w:rsid w:val="007D76F9"/>
    <w:rsid w:val="007E464F"/>
    <w:rsid w:val="007E4FE2"/>
    <w:rsid w:val="007F1E32"/>
    <w:rsid w:val="007F5010"/>
    <w:rsid w:val="0080284B"/>
    <w:rsid w:val="008062C3"/>
    <w:rsid w:val="00811DC6"/>
    <w:rsid w:val="00813AC1"/>
    <w:rsid w:val="00814B1B"/>
    <w:rsid w:val="0082670A"/>
    <w:rsid w:val="00832740"/>
    <w:rsid w:val="00833157"/>
    <w:rsid w:val="0084010D"/>
    <w:rsid w:val="00843275"/>
    <w:rsid w:val="00843477"/>
    <w:rsid w:val="00847324"/>
    <w:rsid w:val="008518D8"/>
    <w:rsid w:val="008543EB"/>
    <w:rsid w:val="008552F1"/>
    <w:rsid w:val="00862256"/>
    <w:rsid w:val="008654FB"/>
    <w:rsid w:val="008678FD"/>
    <w:rsid w:val="008679D3"/>
    <w:rsid w:val="00872B6C"/>
    <w:rsid w:val="0087336E"/>
    <w:rsid w:val="00874F24"/>
    <w:rsid w:val="008809EA"/>
    <w:rsid w:val="00881946"/>
    <w:rsid w:val="0088302C"/>
    <w:rsid w:val="00885AF1"/>
    <w:rsid w:val="008877E3"/>
    <w:rsid w:val="00892409"/>
    <w:rsid w:val="008A295D"/>
    <w:rsid w:val="008B1A38"/>
    <w:rsid w:val="008B609E"/>
    <w:rsid w:val="008C1C25"/>
    <w:rsid w:val="008C224A"/>
    <w:rsid w:val="008C25B3"/>
    <w:rsid w:val="008C479C"/>
    <w:rsid w:val="008C493E"/>
    <w:rsid w:val="008C7B0B"/>
    <w:rsid w:val="008D76B2"/>
    <w:rsid w:val="008E0959"/>
    <w:rsid w:val="008E5B7B"/>
    <w:rsid w:val="008E5BE7"/>
    <w:rsid w:val="008E650C"/>
    <w:rsid w:val="008F2AC2"/>
    <w:rsid w:val="008F2BCF"/>
    <w:rsid w:val="00903ED8"/>
    <w:rsid w:val="00906395"/>
    <w:rsid w:val="00910018"/>
    <w:rsid w:val="00916967"/>
    <w:rsid w:val="0092093C"/>
    <w:rsid w:val="009218D8"/>
    <w:rsid w:val="00925EE6"/>
    <w:rsid w:val="009261CF"/>
    <w:rsid w:val="00932A4C"/>
    <w:rsid w:val="00936075"/>
    <w:rsid w:val="00937093"/>
    <w:rsid w:val="00942A18"/>
    <w:rsid w:val="00943D4C"/>
    <w:rsid w:val="00947685"/>
    <w:rsid w:val="00953BFD"/>
    <w:rsid w:val="00954AD0"/>
    <w:rsid w:val="00962458"/>
    <w:rsid w:val="00962E51"/>
    <w:rsid w:val="0096472B"/>
    <w:rsid w:val="009654E0"/>
    <w:rsid w:val="0096704B"/>
    <w:rsid w:val="00967129"/>
    <w:rsid w:val="00971F63"/>
    <w:rsid w:val="0097448D"/>
    <w:rsid w:val="00976E29"/>
    <w:rsid w:val="00983256"/>
    <w:rsid w:val="009848E7"/>
    <w:rsid w:val="009854A5"/>
    <w:rsid w:val="00986BA5"/>
    <w:rsid w:val="0099056A"/>
    <w:rsid w:val="009919B8"/>
    <w:rsid w:val="00995566"/>
    <w:rsid w:val="009A3692"/>
    <w:rsid w:val="009A75F8"/>
    <w:rsid w:val="009B286A"/>
    <w:rsid w:val="009B3EC0"/>
    <w:rsid w:val="009B63AB"/>
    <w:rsid w:val="009C05C5"/>
    <w:rsid w:val="009C1C57"/>
    <w:rsid w:val="009C5C27"/>
    <w:rsid w:val="009C7423"/>
    <w:rsid w:val="009D0955"/>
    <w:rsid w:val="009D4FB1"/>
    <w:rsid w:val="009D5D55"/>
    <w:rsid w:val="009E1C80"/>
    <w:rsid w:val="009E1FDA"/>
    <w:rsid w:val="009E3952"/>
    <w:rsid w:val="009F043F"/>
    <w:rsid w:val="009F3E07"/>
    <w:rsid w:val="009F5AF1"/>
    <w:rsid w:val="009F649C"/>
    <w:rsid w:val="00A013D7"/>
    <w:rsid w:val="00A026AF"/>
    <w:rsid w:val="00A03233"/>
    <w:rsid w:val="00A06DA5"/>
    <w:rsid w:val="00A144E1"/>
    <w:rsid w:val="00A17B13"/>
    <w:rsid w:val="00A23616"/>
    <w:rsid w:val="00A2458B"/>
    <w:rsid w:val="00A32FDA"/>
    <w:rsid w:val="00A334AA"/>
    <w:rsid w:val="00A33A02"/>
    <w:rsid w:val="00A359B9"/>
    <w:rsid w:val="00A414F6"/>
    <w:rsid w:val="00A42D40"/>
    <w:rsid w:val="00A46E8F"/>
    <w:rsid w:val="00A52AB7"/>
    <w:rsid w:val="00A61216"/>
    <w:rsid w:val="00A7197E"/>
    <w:rsid w:val="00A734CD"/>
    <w:rsid w:val="00A81AC4"/>
    <w:rsid w:val="00A81EFE"/>
    <w:rsid w:val="00A82AAC"/>
    <w:rsid w:val="00A82D0D"/>
    <w:rsid w:val="00A9121A"/>
    <w:rsid w:val="00A91552"/>
    <w:rsid w:val="00A91A74"/>
    <w:rsid w:val="00A93049"/>
    <w:rsid w:val="00A96288"/>
    <w:rsid w:val="00AA4D9C"/>
    <w:rsid w:val="00AA6424"/>
    <w:rsid w:val="00AB0274"/>
    <w:rsid w:val="00AB062A"/>
    <w:rsid w:val="00AB36A9"/>
    <w:rsid w:val="00AB4503"/>
    <w:rsid w:val="00AC0B78"/>
    <w:rsid w:val="00AC0E5A"/>
    <w:rsid w:val="00AC2CF0"/>
    <w:rsid w:val="00AC4360"/>
    <w:rsid w:val="00AC4B85"/>
    <w:rsid w:val="00AC5D88"/>
    <w:rsid w:val="00AC6753"/>
    <w:rsid w:val="00AC6E12"/>
    <w:rsid w:val="00AC7FD3"/>
    <w:rsid w:val="00AD1065"/>
    <w:rsid w:val="00AD3286"/>
    <w:rsid w:val="00AD4F41"/>
    <w:rsid w:val="00AD7BFD"/>
    <w:rsid w:val="00AE1F6B"/>
    <w:rsid w:val="00AE3237"/>
    <w:rsid w:val="00AE3459"/>
    <w:rsid w:val="00AE4A17"/>
    <w:rsid w:val="00AE4F30"/>
    <w:rsid w:val="00AF6095"/>
    <w:rsid w:val="00AF7B8F"/>
    <w:rsid w:val="00B034E4"/>
    <w:rsid w:val="00B1054B"/>
    <w:rsid w:val="00B11C4C"/>
    <w:rsid w:val="00B21C60"/>
    <w:rsid w:val="00B223E4"/>
    <w:rsid w:val="00B24CE1"/>
    <w:rsid w:val="00B26E7E"/>
    <w:rsid w:val="00B30E23"/>
    <w:rsid w:val="00B32E35"/>
    <w:rsid w:val="00B36B8A"/>
    <w:rsid w:val="00B447C7"/>
    <w:rsid w:val="00B50BD2"/>
    <w:rsid w:val="00B54645"/>
    <w:rsid w:val="00B54704"/>
    <w:rsid w:val="00B565B0"/>
    <w:rsid w:val="00B67EEC"/>
    <w:rsid w:val="00B72518"/>
    <w:rsid w:val="00B72C73"/>
    <w:rsid w:val="00B734EC"/>
    <w:rsid w:val="00B7638E"/>
    <w:rsid w:val="00B7777C"/>
    <w:rsid w:val="00B84453"/>
    <w:rsid w:val="00B84BA4"/>
    <w:rsid w:val="00B87DFC"/>
    <w:rsid w:val="00B912E2"/>
    <w:rsid w:val="00B9220B"/>
    <w:rsid w:val="00B97FBF"/>
    <w:rsid w:val="00BA0AEE"/>
    <w:rsid w:val="00BA3272"/>
    <w:rsid w:val="00BA3663"/>
    <w:rsid w:val="00BA555D"/>
    <w:rsid w:val="00BA5995"/>
    <w:rsid w:val="00BB0A3A"/>
    <w:rsid w:val="00BB17B3"/>
    <w:rsid w:val="00BB1EF4"/>
    <w:rsid w:val="00BB294F"/>
    <w:rsid w:val="00BB3696"/>
    <w:rsid w:val="00BB5A76"/>
    <w:rsid w:val="00BB7074"/>
    <w:rsid w:val="00BC02A4"/>
    <w:rsid w:val="00BC4FF0"/>
    <w:rsid w:val="00BD17AE"/>
    <w:rsid w:val="00BE25ED"/>
    <w:rsid w:val="00BE31C8"/>
    <w:rsid w:val="00BE3B0B"/>
    <w:rsid w:val="00BE4FBA"/>
    <w:rsid w:val="00BE5B12"/>
    <w:rsid w:val="00BF1CC9"/>
    <w:rsid w:val="00C02CA8"/>
    <w:rsid w:val="00C04E8D"/>
    <w:rsid w:val="00C17F79"/>
    <w:rsid w:val="00C2162B"/>
    <w:rsid w:val="00C21861"/>
    <w:rsid w:val="00C23B8B"/>
    <w:rsid w:val="00C26EC4"/>
    <w:rsid w:val="00C32462"/>
    <w:rsid w:val="00C37214"/>
    <w:rsid w:val="00C416C0"/>
    <w:rsid w:val="00C54B7D"/>
    <w:rsid w:val="00C5695E"/>
    <w:rsid w:val="00C57AA9"/>
    <w:rsid w:val="00C57C0B"/>
    <w:rsid w:val="00C60354"/>
    <w:rsid w:val="00C80C8D"/>
    <w:rsid w:val="00C80CE4"/>
    <w:rsid w:val="00C81746"/>
    <w:rsid w:val="00C823DA"/>
    <w:rsid w:val="00C82A2B"/>
    <w:rsid w:val="00C85B34"/>
    <w:rsid w:val="00C87E85"/>
    <w:rsid w:val="00C91B1F"/>
    <w:rsid w:val="00C94534"/>
    <w:rsid w:val="00C94870"/>
    <w:rsid w:val="00C96F44"/>
    <w:rsid w:val="00CA01FE"/>
    <w:rsid w:val="00CA0DEC"/>
    <w:rsid w:val="00CA33AC"/>
    <w:rsid w:val="00CA38BE"/>
    <w:rsid w:val="00CA38FE"/>
    <w:rsid w:val="00CB6A67"/>
    <w:rsid w:val="00CC3BB2"/>
    <w:rsid w:val="00CC6E5F"/>
    <w:rsid w:val="00CC7DD6"/>
    <w:rsid w:val="00CD36EA"/>
    <w:rsid w:val="00CD4DBF"/>
    <w:rsid w:val="00CD4E4C"/>
    <w:rsid w:val="00CD522D"/>
    <w:rsid w:val="00CD7275"/>
    <w:rsid w:val="00CD7AF1"/>
    <w:rsid w:val="00CE49E6"/>
    <w:rsid w:val="00CE54A7"/>
    <w:rsid w:val="00CF40A2"/>
    <w:rsid w:val="00CF414A"/>
    <w:rsid w:val="00CF4774"/>
    <w:rsid w:val="00CF69D4"/>
    <w:rsid w:val="00D00906"/>
    <w:rsid w:val="00D00E18"/>
    <w:rsid w:val="00D021E2"/>
    <w:rsid w:val="00D02FD3"/>
    <w:rsid w:val="00D10850"/>
    <w:rsid w:val="00D111DE"/>
    <w:rsid w:val="00D139C9"/>
    <w:rsid w:val="00D14F94"/>
    <w:rsid w:val="00D218C2"/>
    <w:rsid w:val="00D2236E"/>
    <w:rsid w:val="00D24A1F"/>
    <w:rsid w:val="00D35F2B"/>
    <w:rsid w:val="00D36941"/>
    <w:rsid w:val="00D4003B"/>
    <w:rsid w:val="00D444C1"/>
    <w:rsid w:val="00D5127E"/>
    <w:rsid w:val="00D6369A"/>
    <w:rsid w:val="00D658DF"/>
    <w:rsid w:val="00D72415"/>
    <w:rsid w:val="00D72A60"/>
    <w:rsid w:val="00D7553F"/>
    <w:rsid w:val="00D75FBB"/>
    <w:rsid w:val="00D86A12"/>
    <w:rsid w:val="00D92A87"/>
    <w:rsid w:val="00D94E6E"/>
    <w:rsid w:val="00DA2A6A"/>
    <w:rsid w:val="00DB3F46"/>
    <w:rsid w:val="00DB514C"/>
    <w:rsid w:val="00DB6417"/>
    <w:rsid w:val="00DB64B1"/>
    <w:rsid w:val="00DB72BD"/>
    <w:rsid w:val="00DC12DE"/>
    <w:rsid w:val="00DC2F33"/>
    <w:rsid w:val="00DC3E2C"/>
    <w:rsid w:val="00DD14BB"/>
    <w:rsid w:val="00DD308B"/>
    <w:rsid w:val="00DD3BAE"/>
    <w:rsid w:val="00DD5894"/>
    <w:rsid w:val="00DD62C5"/>
    <w:rsid w:val="00DD6EE0"/>
    <w:rsid w:val="00DD736F"/>
    <w:rsid w:val="00DE47F4"/>
    <w:rsid w:val="00DE6E89"/>
    <w:rsid w:val="00DF1FC2"/>
    <w:rsid w:val="00DF45A8"/>
    <w:rsid w:val="00E10174"/>
    <w:rsid w:val="00E20C3E"/>
    <w:rsid w:val="00E35A34"/>
    <w:rsid w:val="00E35E16"/>
    <w:rsid w:val="00E364B9"/>
    <w:rsid w:val="00E37C09"/>
    <w:rsid w:val="00E407A4"/>
    <w:rsid w:val="00E527F5"/>
    <w:rsid w:val="00E56E87"/>
    <w:rsid w:val="00E571C3"/>
    <w:rsid w:val="00E626BD"/>
    <w:rsid w:val="00E64927"/>
    <w:rsid w:val="00E674B7"/>
    <w:rsid w:val="00E7048D"/>
    <w:rsid w:val="00E72340"/>
    <w:rsid w:val="00E8097F"/>
    <w:rsid w:val="00E95270"/>
    <w:rsid w:val="00EA3B64"/>
    <w:rsid w:val="00EA795A"/>
    <w:rsid w:val="00EB1A36"/>
    <w:rsid w:val="00EB42D7"/>
    <w:rsid w:val="00EC2CA5"/>
    <w:rsid w:val="00EC2E93"/>
    <w:rsid w:val="00EC7307"/>
    <w:rsid w:val="00ED068F"/>
    <w:rsid w:val="00ED7D51"/>
    <w:rsid w:val="00EE031C"/>
    <w:rsid w:val="00EE0977"/>
    <w:rsid w:val="00EE6C4E"/>
    <w:rsid w:val="00EF024F"/>
    <w:rsid w:val="00EF37DA"/>
    <w:rsid w:val="00EF5825"/>
    <w:rsid w:val="00EF6E14"/>
    <w:rsid w:val="00EF7C96"/>
    <w:rsid w:val="00F000D7"/>
    <w:rsid w:val="00F01182"/>
    <w:rsid w:val="00F04B51"/>
    <w:rsid w:val="00F06D4E"/>
    <w:rsid w:val="00F06ED4"/>
    <w:rsid w:val="00F1764E"/>
    <w:rsid w:val="00F207F5"/>
    <w:rsid w:val="00F22A76"/>
    <w:rsid w:val="00F25119"/>
    <w:rsid w:val="00F316CE"/>
    <w:rsid w:val="00F33E1A"/>
    <w:rsid w:val="00F3483C"/>
    <w:rsid w:val="00F3492E"/>
    <w:rsid w:val="00F34B9A"/>
    <w:rsid w:val="00F41298"/>
    <w:rsid w:val="00F418E8"/>
    <w:rsid w:val="00F46998"/>
    <w:rsid w:val="00F51A19"/>
    <w:rsid w:val="00F617F5"/>
    <w:rsid w:val="00F61F6D"/>
    <w:rsid w:val="00F65954"/>
    <w:rsid w:val="00F66FD0"/>
    <w:rsid w:val="00F70AB5"/>
    <w:rsid w:val="00F719EA"/>
    <w:rsid w:val="00F72B04"/>
    <w:rsid w:val="00F74095"/>
    <w:rsid w:val="00F75023"/>
    <w:rsid w:val="00F751A1"/>
    <w:rsid w:val="00F755E7"/>
    <w:rsid w:val="00F7637C"/>
    <w:rsid w:val="00F77B53"/>
    <w:rsid w:val="00F80140"/>
    <w:rsid w:val="00F80D48"/>
    <w:rsid w:val="00F81681"/>
    <w:rsid w:val="00F859E4"/>
    <w:rsid w:val="00F93AF2"/>
    <w:rsid w:val="00F971C2"/>
    <w:rsid w:val="00FA2EBE"/>
    <w:rsid w:val="00FB1D2B"/>
    <w:rsid w:val="00FB7ECA"/>
    <w:rsid w:val="00FC36F8"/>
    <w:rsid w:val="00FD032B"/>
    <w:rsid w:val="00FD506B"/>
    <w:rsid w:val="00FD5475"/>
    <w:rsid w:val="00FD79AA"/>
    <w:rsid w:val="00FE0753"/>
    <w:rsid w:val="00FE3224"/>
    <w:rsid w:val="00FE66EE"/>
    <w:rsid w:val="00FE7EC1"/>
    <w:rsid w:val="00FF1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A5801"/>
    <w:rPr>
      <w:sz w:val="24"/>
      <w:szCs w:val="24"/>
    </w:rPr>
  </w:style>
  <w:style w:type="paragraph" w:styleId="Heading1">
    <w:name w:val="heading 1"/>
    <w:basedOn w:val="Normal"/>
    <w:next w:val="Normal"/>
    <w:link w:val="Heading1Char"/>
    <w:qFormat/>
    <w:rsid w:val="001A5801"/>
    <w:pPr>
      <w:keepNext/>
      <w:ind w:left="4320"/>
      <w:jc w:val="both"/>
      <w:outlineLvl w:val="0"/>
    </w:pPr>
    <w:rPr>
      <w:rFonts w:ascii="Arial" w:hAnsi="Arial"/>
      <w:b/>
      <w:bCs/>
      <w:sz w:val="20"/>
      <w:szCs w:val="20"/>
      <w:lang w:eastAsia="ja-JP"/>
    </w:rPr>
  </w:style>
  <w:style w:type="paragraph" w:styleId="Heading2">
    <w:name w:val="heading 2"/>
    <w:basedOn w:val="Normal"/>
    <w:next w:val="Normal"/>
    <w:link w:val="Heading2Char"/>
    <w:qFormat/>
    <w:rsid w:val="00E72340"/>
    <w:pPr>
      <w:keepNext/>
      <w:outlineLvl w:val="1"/>
    </w:pPr>
    <w:rPr>
      <w:b/>
      <w:bCs/>
      <w:sz w:val="26"/>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755E7"/>
    <w:rPr>
      <w:rFonts w:ascii="Arial" w:hAnsi="Arial" w:cs="Times New Roman"/>
      <w:b/>
    </w:rPr>
  </w:style>
  <w:style w:type="character" w:customStyle="1" w:styleId="Heading2Char">
    <w:name w:val="Heading 2 Char"/>
    <w:basedOn w:val="DefaultParagraphFont"/>
    <w:link w:val="Heading2"/>
    <w:locked/>
    <w:rsid w:val="00F755E7"/>
    <w:rPr>
      <w:rFonts w:cs="Times New Roman"/>
      <w:b/>
      <w:sz w:val="24"/>
    </w:rPr>
  </w:style>
  <w:style w:type="character" w:styleId="Hyperlink">
    <w:name w:val="Hyperlink"/>
    <w:basedOn w:val="DefaultParagraphFont"/>
    <w:rsid w:val="001A5801"/>
    <w:rPr>
      <w:rFonts w:cs="Times New Roman"/>
      <w:color w:val="0000FF"/>
      <w:u w:val="single"/>
    </w:rPr>
  </w:style>
  <w:style w:type="paragraph" w:styleId="BodyText">
    <w:name w:val="Body Text"/>
    <w:basedOn w:val="Normal"/>
    <w:link w:val="BodyTextChar"/>
    <w:rsid w:val="001A5801"/>
    <w:rPr>
      <w:rFonts w:ascii="Arial" w:hAnsi="Arial" w:cs="Arial"/>
      <w:sz w:val="20"/>
      <w:szCs w:val="20"/>
    </w:rPr>
  </w:style>
  <w:style w:type="character" w:customStyle="1" w:styleId="BodyTextChar">
    <w:name w:val="Body Text Char"/>
    <w:basedOn w:val="DefaultParagraphFont"/>
    <w:link w:val="BodyText"/>
    <w:locked/>
    <w:rsid w:val="00843275"/>
    <w:rPr>
      <w:rFonts w:cs="Times New Roman"/>
      <w:sz w:val="24"/>
      <w:szCs w:val="24"/>
    </w:rPr>
  </w:style>
  <w:style w:type="paragraph" w:styleId="Header">
    <w:name w:val="header"/>
    <w:basedOn w:val="Normal"/>
    <w:link w:val="HeaderChar"/>
    <w:rsid w:val="001A5801"/>
    <w:pPr>
      <w:tabs>
        <w:tab w:val="center" w:pos="4320"/>
        <w:tab w:val="right" w:pos="8640"/>
      </w:tabs>
    </w:pPr>
  </w:style>
  <w:style w:type="character" w:customStyle="1" w:styleId="HeaderChar">
    <w:name w:val="Header Char"/>
    <w:basedOn w:val="DefaultParagraphFont"/>
    <w:link w:val="Header"/>
    <w:semiHidden/>
    <w:locked/>
    <w:rsid w:val="00843275"/>
    <w:rPr>
      <w:rFonts w:cs="Times New Roman"/>
      <w:sz w:val="24"/>
      <w:szCs w:val="24"/>
    </w:rPr>
  </w:style>
  <w:style w:type="paragraph" w:styleId="Footer">
    <w:name w:val="footer"/>
    <w:basedOn w:val="Normal"/>
    <w:link w:val="FooterChar"/>
    <w:rsid w:val="001A5801"/>
    <w:pPr>
      <w:tabs>
        <w:tab w:val="center" w:pos="4320"/>
        <w:tab w:val="right" w:pos="8640"/>
      </w:tabs>
    </w:pPr>
    <w:rPr>
      <w:lang w:eastAsia="ja-JP"/>
    </w:rPr>
  </w:style>
  <w:style w:type="character" w:customStyle="1" w:styleId="FooterChar">
    <w:name w:val="Footer Char"/>
    <w:basedOn w:val="DefaultParagraphFont"/>
    <w:link w:val="Footer"/>
    <w:locked/>
    <w:rsid w:val="00843477"/>
    <w:rPr>
      <w:rFonts w:cs="Times New Roman"/>
      <w:sz w:val="24"/>
    </w:rPr>
  </w:style>
  <w:style w:type="paragraph" w:styleId="BodyTextIndent">
    <w:name w:val="Body Text Indent"/>
    <w:basedOn w:val="Normal"/>
    <w:link w:val="BodyTextIndentChar"/>
    <w:rsid w:val="001A5801"/>
    <w:pPr>
      <w:ind w:left="1440" w:hanging="1440"/>
    </w:pPr>
    <w:rPr>
      <w:rFonts w:ascii="Arial" w:hAnsi="Arial" w:cs="Arial"/>
      <w:b/>
      <w:bCs/>
      <w:sz w:val="20"/>
      <w:szCs w:val="20"/>
    </w:rPr>
  </w:style>
  <w:style w:type="character" w:customStyle="1" w:styleId="BodyTextIndentChar">
    <w:name w:val="Body Text Indent Char"/>
    <w:basedOn w:val="DefaultParagraphFont"/>
    <w:link w:val="BodyTextIndent"/>
    <w:semiHidden/>
    <w:locked/>
    <w:rsid w:val="00843275"/>
    <w:rPr>
      <w:rFonts w:cs="Times New Roman"/>
      <w:sz w:val="24"/>
      <w:szCs w:val="24"/>
    </w:rPr>
  </w:style>
  <w:style w:type="paragraph" w:styleId="BodyText2">
    <w:name w:val="Body Text 2"/>
    <w:basedOn w:val="Normal"/>
    <w:link w:val="BodyText2Char"/>
    <w:rsid w:val="001A5801"/>
    <w:pPr>
      <w:jc w:val="both"/>
    </w:pPr>
    <w:rPr>
      <w:rFonts w:ascii="Arial" w:hAnsi="Arial" w:cs="Arial"/>
      <w:sz w:val="20"/>
      <w:szCs w:val="20"/>
    </w:rPr>
  </w:style>
  <w:style w:type="character" w:customStyle="1" w:styleId="BodyText2Char">
    <w:name w:val="Body Text 2 Char"/>
    <w:basedOn w:val="DefaultParagraphFont"/>
    <w:link w:val="BodyText2"/>
    <w:semiHidden/>
    <w:locked/>
    <w:rsid w:val="00843275"/>
    <w:rPr>
      <w:rFonts w:cs="Times New Roman"/>
      <w:sz w:val="24"/>
      <w:szCs w:val="24"/>
    </w:rPr>
  </w:style>
  <w:style w:type="paragraph" w:styleId="BalloonText">
    <w:name w:val="Balloon Text"/>
    <w:basedOn w:val="Normal"/>
    <w:link w:val="BalloonTextChar"/>
    <w:semiHidden/>
    <w:rsid w:val="001A5801"/>
    <w:rPr>
      <w:rFonts w:ascii="Tahoma" w:hAnsi="Tahoma" w:cs="Tahoma"/>
      <w:sz w:val="16"/>
      <w:szCs w:val="16"/>
    </w:rPr>
  </w:style>
  <w:style w:type="character" w:customStyle="1" w:styleId="BalloonTextChar">
    <w:name w:val="Balloon Text Char"/>
    <w:basedOn w:val="DefaultParagraphFont"/>
    <w:link w:val="BalloonText"/>
    <w:semiHidden/>
    <w:locked/>
    <w:rsid w:val="00843275"/>
    <w:rPr>
      <w:rFonts w:cs="Times New Roman"/>
      <w:sz w:val="2"/>
    </w:rPr>
  </w:style>
  <w:style w:type="paragraph" w:styleId="DocumentMap">
    <w:name w:val="Document Map"/>
    <w:basedOn w:val="Normal"/>
    <w:link w:val="DocumentMapChar"/>
    <w:semiHidden/>
    <w:rsid w:val="001A58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843275"/>
    <w:rPr>
      <w:rFonts w:cs="Times New Roman"/>
      <w:sz w:val="2"/>
    </w:rPr>
  </w:style>
  <w:style w:type="paragraph" w:styleId="PlainText">
    <w:name w:val="Plain Text"/>
    <w:basedOn w:val="Normal"/>
    <w:link w:val="PlainTextChar"/>
    <w:rsid w:val="00CC6E5F"/>
    <w:pPr>
      <w:spacing w:before="100" w:beforeAutospacing="1" w:after="100" w:afterAutospacing="1"/>
    </w:pPr>
    <w:rPr>
      <w:lang w:eastAsia="ja-JP"/>
    </w:rPr>
  </w:style>
  <w:style w:type="character" w:customStyle="1" w:styleId="PlainTextChar">
    <w:name w:val="Plain Text Char"/>
    <w:basedOn w:val="DefaultParagraphFont"/>
    <w:link w:val="PlainText"/>
    <w:locked/>
    <w:rsid w:val="003879DF"/>
    <w:rPr>
      <w:rFonts w:cs="Times New Roman"/>
      <w:sz w:val="24"/>
    </w:rPr>
  </w:style>
  <w:style w:type="paragraph" w:styleId="NormalWeb">
    <w:name w:val="Normal (Web)"/>
    <w:basedOn w:val="Normal"/>
    <w:rsid w:val="001854AB"/>
    <w:pPr>
      <w:spacing w:before="100" w:beforeAutospacing="1" w:after="100" w:afterAutospacing="1"/>
    </w:pPr>
  </w:style>
  <w:style w:type="paragraph" w:styleId="ListParagraph">
    <w:name w:val="List Paragraph"/>
    <w:basedOn w:val="Normal"/>
    <w:uiPriority w:val="34"/>
    <w:qFormat/>
    <w:rsid w:val="00396D76"/>
    <w:pPr>
      <w:ind w:left="720"/>
      <w:contextualSpacing/>
    </w:pPr>
  </w:style>
  <w:style w:type="character" w:styleId="CommentReference">
    <w:name w:val="annotation reference"/>
    <w:basedOn w:val="DefaultParagraphFont"/>
    <w:rsid w:val="00B36B8A"/>
    <w:rPr>
      <w:rFonts w:cs="Times New Roman"/>
      <w:sz w:val="16"/>
    </w:rPr>
  </w:style>
  <w:style w:type="paragraph" w:styleId="CommentText">
    <w:name w:val="annotation text"/>
    <w:basedOn w:val="Normal"/>
    <w:link w:val="CommentTextChar"/>
    <w:rsid w:val="00B36B8A"/>
    <w:rPr>
      <w:sz w:val="20"/>
      <w:szCs w:val="20"/>
    </w:rPr>
  </w:style>
  <w:style w:type="character" w:customStyle="1" w:styleId="CommentTextChar">
    <w:name w:val="Comment Text Char"/>
    <w:basedOn w:val="DefaultParagraphFont"/>
    <w:link w:val="CommentText"/>
    <w:locked/>
    <w:rsid w:val="00B36B8A"/>
    <w:rPr>
      <w:rFonts w:cs="Times New Roman"/>
    </w:rPr>
  </w:style>
  <w:style w:type="paragraph" w:styleId="CommentSubject">
    <w:name w:val="annotation subject"/>
    <w:basedOn w:val="CommentText"/>
    <w:next w:val="CommentText"/>
    <w:link w:val="CommentSubjectChar"/>
    <w:rsid w:val="00B36B8A"/>
    <w:rPr>
      <w:b/>
      <w:bCs/>
      <w:lang w:eastAsia="ja-JP"/>
    </w:rPr>
  </w:style>
  <w:style w:type="character" w:customStyle="1" w:styleId="CommentSubjectChar">
    <w:name w:val="Comment Subject Char"/>
    <w:basedOn w:val="CommentTextChar"/>
    <w:link w:val="CommentSubject"/>
    <w:locked/>
    <w:rsid w:val="00B36B8A"/>
    <w:rPr>
      <w:b/>
    </w:rPr>
  </w:style>
  <w:style w:type="paragraph" w:styleId="FootnoteText">
    <w:name w:val="footnote text"/>
    <w:basedOn w:val="Normal"/>
    <w:link w:val="FootnoteTextChar"/>
    <w:rsid w:val="00967129"/>
    <w:rPr>
      <w:sz w:val="20"/>
      <w:szCs w:val="20"/>
    </w:rPr>
  </w:style>
  <w:style w:type="character" w:customStyle="1" w:styleId="FootnoteTextChar">
    <w:name w:val="Footnote Text Char"/>
    <w:basedOn w:val="DefaultParagraphFont"/>
    <w:link w:val="FootnoteText"/>
    <w:locked/>
    <w:rsid w:val="00967129"/>
    <w:rPr>
      <w:rFonts w:cs="Times New Roman"/>
    </w:rPr>
  </w:style>
  <w:style w:type="character" w:styleId="FootnoteReference">
    <w:name w:val="footnote reference"/>
    <w:basedOn w:val="DefaultParagraphFont"/>
    <w:rsid w:val="00967129"/>
    <w:rPr>
      <w:rFonts w:cs="Times New Roman"/>
      <w:vertAlign w:val="superscript"/>
    </w:rPr>
  </w:style>
  <w:style w:type="character" w:styleId="Strong">
    <w:name w:val="Strong"/>
    <w:basedOn w:val="DefaultParagraphFont"/>
    <w:qFormat/>
    <w:rsid w:val="00092501"/>
    <w:rPr>
      <w:rFonts w:cs="Times New Roman"/>
      <w:b/>
    </w:rPr>
  </w:style>
  <w:style w:type="table" w:styleId="TableGrid">
    <w:name w:val="Table Grid"/>
    <w:basedOn w:val="TableNormal"/>
    <w:rsid w:val="00F33E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Arial">
    <w:name w:val="Normal + Arial"/>
    <w:aliases w:val="Right:  -2.64 cm"/>
    <w:basedOn w:val="Normal"/>
    <w:rsid w:val="00312685"/>
    <w:pPr>
      <w:overflowPunct w:val="0"/>
      <w:autoSpaceDE w:val="0"/>
      <w:autoSpaceDN w:val="0"/>
      <w:adjustRightInd w:val="0"/>
      <w:ind w:right="-1497"/>
      <w:jc w:val="both"/>
      <w:textAlignment w:val="baseline"/>
    </w:pPr>
    <w:rPr>
      <w:rFonts w:ascii="Arial" w:hAnsi="Arial" w:cs="Arial"/>
      <w:sz w:val="20"/>
    </w:rPr>
  </w:style>
  <w:style w:type="paragraph" w:styleId="TOCHeading">
    <w:name w:val="TOC Heading"/>
    <w:basedOn w:val="Heading1"/>
    <w:next w:val="Normal"/>
    <w:qFormat/>
    <w:rsid w:val="00312685"/>
    <w:pPr>
      <w:keepLines/>
      <w:spacing w:before="480" w:line="276" w:lineRule="auto"/>
      <w:ind w:left="0"/>
      <w:jc w:val="left"/>
      <w:outlineLvl w:val="9"/>
    </w:pPr>
    <w:rPr>
      <w:rFonts w:ascii="Cambria" w:hAnsi="Cambria"/>
      <w:color w:val="365F91"/>
      <w:sz w:val="28"/>
      <w:szCs w:val="28"/>
    </w:rPr>
  </w:style>
  <w:style w:type="paragraph" w:styleId="TOC2">
    <w:name w:val="toc 2"/>
    <w:basedOn w:val="Normal"/>
    <w:next w:val="Normal"/>
    <w:autoRedefine/>
    <w:rsid w:val="00312685"/>
    <w:pPr>
      <w:tabs>
        <w:tab w:val="left" w:pos="660"/>
        <w:tab w:val="right" w:leader="dot" w:pos="9350"/>
      </w:tabs>
      <w:spacing w:after="240"/>
      <w:ind w:left="200"/>
    </w:pPr>
    <w:rPr>
      <w:b/>
      <w:noProof/>
      <w:sz w:val="20"/>
      <w:szCs w:val="20"/>
    </w:rPr>
  </w:style>
  <w:style w:type="paragraph" w:styleId="TOC1">
    <w:name w:val="toc 1"/>
    <w:basedOn w:val="Normal"/>
    <w:next w:val="Normal"/>
    <w:autoRedefine/>
    <w:rsid w:val="00DE6E89"/>
  </w:style>
  <w:style w:type="paragraph" w:styleId="EndnoteText">
    <w:name w:val="endnote text"/>
    <w:basedOn w:val="Normal"/>
    <w:link w:val="EndnoteTextChar"/>
    <w:semiHidden/>
    <w:rsid w:val="00090D90"/>
    <w:rPr>
      <w:sz w:val="20"/>
      <w:szCs w:val="20"/>
    </w:rPr>
  </w:style>
  <w:style w:type="character" w:customStyle="1" w:styleId="EndnoteTextChar">
    <w:name w:val="Endnote Text Char"/>
    <w:basedOn w:val="DefaultParagraphFont"/>
    <w:link w:val="EndnoteText"/>
    <w:semiHidden/>
    <w:locked/>
    <w:rsid w:val="00090D90"/>
    <w:rPr>
      <w:rFonts w:cs="Times New Roman"/>
    </w:rPr>
  </w:style>
  <w:style w:type="character" w:styleId="EndnoteReference">
    <w:name w:val="endnote reference"/>
    <w:basedOn w:val="DefaultParagraphFont"/>
    <w:semiHidden/>
    <w:rsid w:val="00090D90"/>
    <w:rPr>
      <w:rFonts w:cs="Times New Roman"/>
      <w:vertAlign w:val="superscript"/>
    </w:rPr>
  </w:style>
  <w:style w:type="character" w:styleId="FollowedHyperlink">
    <w:name w:val="FollowedHyperlink"/>
    <w:basedOn w:val="DefaultParagraphFont"/>
    <w:semiHidden/>
    <w:rsid w:val="00976E29"/>
    <w:rPr>
      <w:rFonts w:cs="Times New Roman"/>
      <w:color w:val="800080"/>
      <w:u w:val="single"/>
    </w:rPr>
  </w:style>
  <w:style w:type="paragraph" w:customStyle="1" w:styleId="H1">
    <w:name w:val="H1"/>
    <w:rsid w:val="000134CC"/>
    <w:pPr>
      <w:spacing w:before="60" w:after="60"/>
    </w:pPr>
    <w:rPr>
      <w:rFonts w:cs="Arial"/>
      <w:b/>
      <w:bCs/>
      <w:kern w:val="32"/>
      <w:sz w:val="24"/>
      <w:szCs w:val="32"/>
      <w:lang w:val="en-GB"/>
    </w:rPr>
  </w:style>
  <w:style w:type="paragraph" w:customStyle="1" w:styleId="H2">
    <w:name w:val="H2"/>
    <w:rsid w:val="000134CC"/>
    <w:rPr>
      <w:rFonts w:cs="Arial"/>
      <w:b/>
      <w:bCs/>
      <w:iCs/>
      <w:sz w:val="22"/>
      <w:szCs w:val="28"/>
      <w:lang w:val="en-GB"/>
    </w:rPr>
  </w:style>
  <w:style w:type="paragraph" w:customStyle="1" w:styleId="Default">
    <w:name w:val="Default"/>
    <w:rsid w:val="00943D4C"/>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36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36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36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36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360"/>
          <w:divBdr>
            <w:top w:val="none" w:sz="0" w:space="0" w:color="auto"/>
            <w:left w:val="none" w:sz="0" w:space="0" w:color="auto"/>
            <w:bottom w:val="none" w:sz="0" w:space="0" w:color="auto"/>
            <w:right w:val="none" w:sz="0" w:space="0" w:color="auto"/>
          </w:divBdr>
        </w:div>
      </w:divsChild>
    </w:div>
    <w:div w:id="198277476">
      <w:bodyDiv w:val="1"/>
      <w:marLeft w:val="0"/>
      <w:marRight w:val="0"/>
      <w:marTop w:val="0"/>
      <w:marBottom w:val="0"/>
      <w:divBdr>
        <w:top w:val="none" w:sz="0" w:space="0" w:color="auto"/>
        <w:left w:val="none" w:sz="0" w:space="0" w:color="auto"/>
        <w:bottom w:val="none" w:sz="0" w:space="0" w:color="auto"/>
        <w:right w:val="none" w:sz="0" w:space="0" w:color="auto"/>
      </w:divBdr>
    </w:div>
    <w:div w:id="260375570">
      <w:bodyDiv w:val="1"/>
      <w:marLeft w:val="0"/>
      <w:marRight w:val="0"/>
      <w:marTop w:val="0"/>
      <w:marBottom w:val="0"/>
      <w:divBdr>
        <w:top w:val="none" w:sz="0" w:space="0" w:color="auto"/>
        <w:left w:val="none" w:sz="0" w:space="0" w:color="auto"/>
        <w:bottom w:val="none" w:sz="0" w:space="0" w:color="auto"/>
        <w:right w:val="none" w:sz="0" w:space="0" w:color="auto"/>
      </w:divBdr>
    </w:div>
    <w:div w:id="1284381438">
      <w:bodyDiv w:val="1"/>
      <w:marLeft w:val="0"/>
      <w:marRight w:val="0"/>
      <w:marTop w:val="0"/>
      <w:marBottom w:val="0"/>
      <w:divBdr>
        <w:top w:val="none" w:sz="0" w:space="0" w:color="auto"/>
        <w:left w:val="none" w:sz="0" w:space="0" w:color="auto"/>
        <w:bottom w:val="none" w:sz="0" w:space="0" w:color="auto"/>
        <w:right w:val="none" w:sz="0" w:space="0" w:color="auto"/>
      </w:divBdr>
    </w:div>
    <w:div w:id="196295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mdtf.undp.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UNDP</Company>
  <LinksUpToDate>false</LinksUpToDate>
  <CharactersWithSpaces>11330</CharactersWithSpaces>
  <SharedDoc>false</SharedDoc>
  <HLinks>
    <vt:vector size="6" baseType="variant">
      <vt:variant>
        <vt:i4>655430</vt:i4>
      </vt:variant>
      <vt:variant>
        <vt:i4>0</vt:i4>
      </vt:variant>
      <vt:variant>
        <vt:i4>0</vt:i4>
      </vt:variant>
      <vt:variant>
        <vt:i4>5</vt:i4>
      </vt:variant>
      <vt:variant>
        <vt:lpwstr>http://mdtf.undp.org/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Dalia</dc:creator>
  <cp:keywords/>
  <dc:description/>
  <cp:lastModifiedBy>pem.wangdi</cp:lastModifiedBy>
  <cp:revision>9</cp:revision>
  <cp:lastPrinted>2011-03-02T09:20:00Z</cp:lastPrinted>
  <dcterms:created xsi:type="dcterms:W3CDTF">2011-03-22T05:43:00Z</dcterms:created>
  <dcterms:modified xsi:type="dcterms:W3CDTF">2011-03-30T10:40:00Z</dcterms:modified>
</cp:coreProperties>
</file>